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C1" w:rsidRDefault="00AD31C3">
      <w:pPr>
        <w:spacing w:line="360" w:lineRule="auto"/>
        <w:jc w:val="center"/>
        <w:rPr>
          <w:rFonts w:ascii="仿宋" w:eastAsia="仿宋" w:hAnsi="仿宋" w:cs="Times New Roman"/>
          <w:b/>
          <w:bCs/>
          <w:sz w:val="32"/>
          <w:szCs w:val="32"/>
        </w:rPr>
      </w:pPr>
      <w:r>
        <w:rPr>
          <w:rFonts w:ascii="仿宋" w:eastAsia="仿宋" w:hAnsi="仿宋" w:cs="仿宋" w:hint="eastAsia"/>
          <w:b/>
          <w:bCs/>
          <w:sz w:val="32"/>
          <w:szCs w:val="32"/>
        </w:rPr>
        <w:t>中山大学新华学院</w:t>
      </w:r>
      <w:r w:rsidR="008C1313">
        <w:rPr>
          <w:rFonts w:ascii="仿宋" w:eastAsia="仿宋" w:hAnsi="仿宋" w:cs="仿宋" w:hint="eastAsia"/>
          <w:b/>
          <w:bCs/>
          <w:sz w:val="32"/>
          <w:szCs w:val="32"/>
        </w:rPr>
        <w:t>服务</w:t>
      </w:r>
      <w:r>
        <w:rPr>
          <w:rFonts w:ascii="仿宋" w:eastAsia="仿宋" w:hAnsi="仿宋" w:cs="仿宋" w:hint="eastAsia"/>
          <w:b/>
          <w:bCs/>
          <w:sz w:val="32"/>
          <w:szCs w:val="32"/>
        </w:rPr>
        <w:t>器报价清单</w:t>
      </w:r>
    </w:p>
    <w:p w:rsidR="000550C1" w:rsidRDefault="00AD31C3">
      <w:pPr>
        <w:spacing w:line="360" w:lineRule="auto"/>
        <w:jc w:val="right"/>
        <w:rPr>
          <w:rFonts w:ascii="仿宋" w:eastAsia="仿宋" w:hAnsi="仿宋" w:cs="Times New Roman"/>
          <w:sz w:val="24"/>
          <w:szCs w:val="24"/>
        </w:rPr>
      </w:pPr>
      <w:r>
        <w:rPr>
          <w:rFonts w:ascii="仿宋" w:eastAsia="仿宋" w:hAnsi="仿宋" w:cs="仿宋"/>
          <w:sz w:val="24"/>
          <w:szCs w:val="24"/>
        </w:rPr>
        <w:t>201</w:t>
      </w:r>
      <w:r>
        <w:rPr>
          <w:rFonts w:ascii="仿宋" w:eastAsia="仿宋" w:hAnsi="仿宋" w:cs="仿宋" w:hint="eastAsia"/>
          <w:sz w:val="24"/>
          <w:szCs w:val="24"/>
        </w:rPr>
        <w:t>6年11月</w:t>
      </w:r>
      <w:r w:rsidR="008C1313">
        <w:rPr>
          <w:rFonts w:ascii="仿宋" w:eastAsia="仿宋" w:hAnsi="仿宋" w:cs="仿宋" w:hint="eastAsia"/>
          <w:sz w:val="24"/>
          <w:szCs w:val="24"/>
        </w:rPr>
        <w:t>28</w:t>
      </w:r>
      <w:r>
        <w:rPr>
          <w:rFonts w:ascii="仿宋" w:eastAsia="仿宋" w:hAnsi="仿宋" w:cs="仿宋" w:hint="eastAsia"/>
          <w:sz w:val="24"/>
          <w:szCs w:val="24"/>
        </w:rPr>
        <w:t>日</w:t>
      </w:r>
    </w:p>
    <w:p w:rsidR="000550C1" w:rsidRDefault="00AD31C3">
      <w:pPr>
        <w:spacing w:line="360" w:lineRule="auto"/>
        <w:rPr>
          <w:rFonts w:ascii="仿宋" w:eastAsia="仿宋" w:hAnsi="仿宋" w:cs="Times New Roman"/>
          <w:sz w:val="24"/>
          <w:szCs w:val="24"/>
        </w:rPr>
      </w:pPr>
      <w:r>
        <w:rPr>
          <w:rFonts w:ascii="仿宋" w:eastAsia="仿宋" w:hAnsi="仿宋" w:cs="仿宋" w:hint="eastAsia"/>
          <w:sz w:val="24"/>
          <w:szCs w:val="24"/>
        </w:rPr>
        <w:t>公司全称：</w:t>
      </w:r>
    </w:p>
    <w:p w:rsidR="000550C1" w:rsidRDefault="00AD31C3">
      <w:pPr>
        <w:spacing w:line="360" w:lineRule="auto"/>
        <w:rPr>
          <w:rFonts w:ascii="仿宋" w:eastAsia="仿宋" w:hAnsi="仿宋" w:cs="Times New Roman"/>
          <w:sz w:val="24"/>
          <w:szCs w:val="24"/>
        </w:rPr>
      </w:pPr>
      <w:r>
        <w:rPr>
          <w:rFonts w:ascii="仿宋" w:eastAsia="仿宋" w:hAnsi="仿宋" w:cs="仿宋" w:hint="eastAsia"/>
          <w:sz w:val="24"/>
          <w:szCs w:val="24"/>
        </w:rPr>
        <w:t>联系人：</w:t>
      </w:r>
    </w:p>
    <w:p w:rsidR="000550C1" w:rsidRDefault="00AD31C3">
      <w:pPr>
        <w:spacing w:line="360" w:lineRule="auto"/>
        <w:rPr>
          <w:rFonts w:ascii="仿宋" w:eastAsia="仿宋" w:hAnsi="仿宋" w:cs="Times New Roman"/>
          <w:sz w:val="24"/>
          <w:szCs w:val="24"/>
        </w:rPr>
      </w:pPr>
      <w:r>
        <w:rPr>
          <w:rFonts w:ascii="仿宋" w:eastAsia="仿宋" w:hAnsi="仿宋" w:cs="仿宋" w:hint="eastAsia"/>
          <w:sz w:val="24"/>
          <w:szCs w:val="24"/>
        </w:rPr>
        <w:t>联系方式：</w:t>
      </w:r>
    </w:p>
    <w:p w:rsidR="000550C1" w:rsidRDefault="000550C1">
      <w:pPr>
        <w:spacing w:line="360" w:lineRule="auto"/>
        <w:rPr>
          <w:rFonts w:ascii="仿宋" w:eastAsia="仿宋" w:hAnsi="仿宋" w:cs="Times New Roman"/>
          <w:sz w:val="24"/>
          <w:szCs w:val="24"/>
        </w:rPr>
      </w:pPr>
    </w:p>
    <w:p w:rsidR="000550C1" w:rsidRDefault="00AD31C3">
      <w:pPr>
        <w:spacing w:line="360" w:lineRule="auto"/>
        <w:rPr>
          <w:rFonts w:ascii="仿宋" w:eastAsia="仿宋" w:hAnsi="仿宋" w:cs="Times New Roman"/>
          <w:sz w:val="24"/>
          <w:szCs w:val="24"/>
        </w:rPr>
      </w:pPr>
      <w:r>
        <w:rPr>
          <w:rFonts w:ascii="仿宋" w:eastAsia="仿宋" w:hAnsi="仿宋" w:cs="仿宋" w:hint="eastAsia"/>
          <w:sz w:val="24"/>
          <w:szCs w:val="24"/>
        </w:rPr>
        <w:t>采购项目清单：</w:t>
      </w:r>
      <w:r w:rsidR="008C1313">
        <w:rPr>
          <w:rFonts w:ascii="仿宋" w:eastAsia="仿宋" w:hAnsi="仿宋" w:cs="仿宋" w:hint="eastAsia"/>
          <w:b/>
          <w:bCs/>
          <w:sz w:val="28"/>
          <w:szCs w:val="28"/>
        </w:rPr>
        <w:t>服务</w:t>
      </w:r>
      <w:r>
        <w:rPr>
          <w:rFonts w:ascii="仿宋" w:eastAsia="仿宋" w:hAnsi="仿宋" w:cs="仿宋" w:hint="eastAsia"/>
          <w:b/>
          <w:bCs/>
          <w:sz w:val="28"/>
          <w:szCs w:val="28"/>
        </w:rPr>
        <w:t>器</w:t>
      </w:r>
    </w:p>
    <w:tbl>
      <w:tblPr>
        <w:tblStyle w:val="a9"/>
        <w:tblW w:w="4904" w:type="pct"/>
        <w:tblLook w:val="04A0" w:firstRow="1" w:lastRow="0" w:firstColumn="1" w:lastColumn="0" w:noHBand="0" w:noVBand="1"/>
      </w:tblPr>
      <w:tblGrid>
        <w:gridCol w:w="1333"/>
        <w:gridCol w:w="4511"/>
        <w:gridCol w:w="1224"/>
        <w:gridCol w:w="1224"/>
        <w:gridCol w:w="818"/>
      </w:tblGrid>
      <w:tr w:rsidR="008C1313" w:rsidRPr="00C96439" w:rsidTr="006C1121">
        <w:trPr>
          <w:trHeight w:val="699"/>
        </w:trPr>
        <w:tc>
          <w:tcPr>
            <w:tcW w:w="731" w:type="pct"/>
            <w:vAlign w:val="center"/>
          </w:tcPr>
          <w:p w:rsidR="008C1313" w:rsidRPr="00C96439" w:rsidRDefault="008C1313" w:rsidP="00E15709">
            <w:pPr>
              <w:jc w:val="center"/>
              <w:rPr>
                <w:b/>
              </w:rPr>
            </w:pPr>
            <w:r w:rsidRPr="00C96439">
              <w:rPr>
                <w:b/>
              </w:rPr>
              <w:t>设备名称</w:t>
            </w:r>
          </w:p>
        </w:tc>
        <w:tc>
          <w:tcPr>
            <w:tcW w:w="2476" w:type="pct"/>
            <w:vAlign w:val="center"/>
          </w:tcPr>
          <w:p w:rsidR="008C1313" w:rsidRPr="00C96439" w:rsidRDefault="008C1313" w:rsidP="00E15709">
            <w:pPr>
              <w:jc w:val="center"/>
              <w:rPr>
                <w:b/>
              </w:rPr>
            </w:pPr>
            <w:r w:rsidRPr="00C96439">
              <w:rPr>
                <w:b/>
              </w:rPr>
              <w:t>配置描述</w:t>
            </w:r>
          </w:p>
        </w:tc>
        <w:tc>
          <w:tcPr>
            <w:tcW w:w="672" w:type="pct"/>
            <w:vAlign w:val="center"/>
          </w:tcPr>
          <w:p w:rsidR="008C1313" w:rsidRPr="00C96439" w:rsidRDefault="008C1313" w:rsidP="00E15709">
            <w:pPr>
              <w:jc w:val="center"/>
              <w:rPr>
                <w:b/>
              </w:rPr>
            </w:pPr>
            <w:r w:rsidRPr="00C96439">
              <w:rPr>
                <w:b/>
              </w:rPr>
              <w:t>数量</w:t>
            </w:r>
          </w:p>
        </w:tc>
        <w:tc>
          <w:tcPr>
            <w:tcW w:w="672" w:type="pct"/>
            <w:vAlign w:val="center"/>
          </w:tcPr>
          <w:p w:rsidR="008C1313" w:rsidRDefault="008C1313" w:rsidP="00E15709">
            <w:pPr>
              <w:jc w:val="center"/>
              <w:rPr>
                <w:b/>
              </w:rPr>
            </w:pPr>
            <w:r w:rsidRPr="008C1313">
              <w:rPr>
                <w:rFonts w:hint="eastAsia"/>
                <w:b/>
              </w:rPr>
              <w:t>单价</w:t>
            </w:r>
          </w:p>
        </w:tc>
        <w:tc>
          <w:tcPr>
            <w:tcW w:w="449" w:type="pct"/>
            <w:vAlign w:val="center"/>
          </w:tcPr>
          <w:p w:rsidR="008C1313" w:rsidRPr="00C96439" w:rsidRDefault="006C1121" w:rsidP="006C1121">
            <w:pPr>
              <w:rPr>
                <w:b/>
              </w:rPr>
            </w:pPr>
            <w:r>
              <w:rPr>
                <w:rFonts w:hint="eastAsia"/>
                <w:b/>
              </w:rPr>
              <w:t>总价</w:t>
            </w:r>
          </w:p>
        </w:tc>
      </w:tr>
      <w:tr w:rsidR="008C1313" w:rsidTr="006C1121">
        <w:trPr>
          <w:trHeight w:val="2221"/>
        </w:trPr>
        <w:tc>
          <w:tcPr>
            <w:tcW w:w="731" w:type="pct"/>
            <w:vAlign w:val="center"/>
          </w:tcPr>
          <w:p w:rsidR="008C1313" w:rsidRDefault="008C1313" w:rsidP="00E15709">
            <w:pPr>
              <w:jc w:val="center"/>
            </w:pPr>
            <w:r>
              <w:rPr>
                <w:rFonts w:hint="eastAsia"/>
              </w:rPr>
              <w:t>联想服务器</w:t>
            </w:r>
          </w:p>
          <w:p w:rsidR="008C1313" w:rsidRDefault="008C1313" w:rsidP="00E15709">
            <w:pPr>
              <w:jc w:val="center"/>
            </w:pPr>
            <w:r>
              <w:rPr>
                <w:rFonts w:hint="eastAsia"/>
              </w:rPr>
              <w:t>X3650M5</w:t>
            </w:r>
          </w:p>
        </w:tc>
        <w:tc>
          <w:tcPr>
            <w:tcW w:w="2476" w:type="pct"/>
            <w:vAlign w:val="center"/>
          </w:tcPr>
          <w:p w:rsidR="008C1313" w:rsidRDefault="008C1313" w:rsidP="00E15709">
            <w:pPr>
              <w:jc w:val="center"/>
            </w:pPr>
            <w:r>
              <w:rPr>
                <w:rFonts w:hint="eastAsia"/>
              </w:rPr>
              <w:t>1</w:t>
            </w:r>
            <w:r>
              <w:t>）</w:t>
            </w:r>
            <w:r>
              <w:rPr>
                <w:rFonts w:hint="eastAsia"/>
              </w:rPr>
              <w:t>配置</w:t>
            </w:r>
            <w:r>
              <w:t>1</w:t>
            </w:r>
            <w:r>
              <w:rPr>
                <w:rFonts w:hint="eastAsia"/>
              </w:rPr>
              <w:t>个</w:t>
            </w:r>
            <w:r>
              <w:rPr>
                <w:rFonts w:hint="eastAsia"/>
              </w:rPr>
              <w:t>E5-2609v4 8</w:t>
            </w:r>
            <w:r>
              <w:rPr>
                <w:rFonts w:hint="eastAsia"/>
              </w:rPr>
              <w:t>核</w:t>
            </w:r>
            <w:r w:rsidRPr="00DC4BE6">
              <w:rPr>
                <w:rFonts w:hint="eastAsia"/>
              </w:rPr>
              <w:t xml:space="preserve"> </w:t>
            </w:r>
            <w:r>
              <w:rPr>
                <w:rFonts w:hint="eastAsia"/>
              </w:rPr>
              <w:t>主频</w:t>
            </w:r>
            <w:r w:rsidRPr="00DC4BE6">
              <w:rPr>
                <w:rFonts w:hint="eastAsia"/>
              </w:rPr>
              <w:t>1.7GHz 20MB</w:t>
            </w:r>
            <w:r>
              <w:rPr>
                <w:rFonts w:hint="eastAsia"/>
              </w:rPr>
              <w:t>处理器</w:t>
            </w:r>
            <w:r w:rsidRPr="00DC4BE6">
              <w:rPr>
                <w:rFonts w:hint="eastAsia"/>
              </w:rPr>
              <w:t>，</w:t>
            </w:r>
            <w:r>
              <w:rPr>
                <w:rFonts w:hint="eastAsia"/>
              </w:rPr>
              <w:t>配置</w:t>
            </w:r>
            <w:r>
              <w:rPr>
                <w:rFonts w:hint="eastAsia"/>
              </w:rPr>
              <w:t>1</w:t>
            </w:r>
            <w:r>
              <w:rPr>
                <w:rFonts w:hint="eastAsia"/>
              </w:rPr>
              <w:t>条</w:t>
            </w:r>
            <w:r w:rsidRPr="00DC4BE6">
              <w:rPr>
                <w:rFonts w:hint="eastAsia"/>
              </w:rPr>
              <w:t>16GB DDR4,8x2.5"</w:t>
            </w:r>
            <w:r w:rsidRPr="00DC4BE6">
              <w:rPr>
                <w:rFonts w:hint="eastAsia"/>
              </w:rPr>
              <w:t>盘位，</w:t>
            </w:r>
            <w:r>
              <w:rPr>
                <w:rFonts w:hint="eastAsia"/>
              </w:rPr>
              <w:t>本次配置</w:t>
            </w:r>
            <w:r>
              <w:t>1</w:t>
            </w:r>
            <w:r>
              <w:rPr>
                <w:rFonts w:hint="eastAsia"/>
              </w:rPr>
              <w:t>块</w:t>
            </w:r>
            <w:r>
              <w:rPr>
                <w:rFonts w:hint="eastAsia"/>
              </w:rPr>
              <w:t>300G 10K SAS, M5210 Raid 0,1</w:t>
            </w:r>
            <w:r>
              <w:rPr>
                <w:rFonts w:hint="eastAsia"/>
              </w:rPr>
              <w:t>，</w:t>
            </w:r>
            <w:r>
              <w:t>1</w:t>
            </w:r>
            <w:r>
              <w:rPr>
                <w:rFonts w:hint="eastAsia"/>
              </w:rPr>
              <w:t>个</w:t>
            </w:r>
            <w:r w:rsidRPr="00DC4BE6">
              <w:rPr>
                <w:rFonts w:hint="eastAsia"/>
              </w:rPr>
              <w:t>550W</w:t>
            </w:r>
            <w:r w:rsidRPr="00DC4BE6">
              <w:rPr>
                <w:rFonts w:hint="eastAsia"/>
              </w:rPr>
              <w:t>白金</w:t>
            </w:r>
            <w:r>
              <w:rPr>
                <w:rFonts w:hint="eastAsia"/>
              </w:rPr>
              <w:t>电源</w:t>
            </w:r>
            <w:r w:rsidRPr="00DC4BE6">
              <w:rPr>
                <w:rFonts w:hint="eastAsia"/>
              </w:rPr>
              <w:t>，</w:t>
            </w:r>
            <w:r w:rsidRPr="00DC4BE6">
              <w:rPr>
                <w:rFonts w:hint="eastAsia"/>
              </w:rPr>
              <w:t>DVD-RW</w:t>
            </w:r>
            <w:r>
              <w:rPr>
                <w:rFonts w:hint="eastAsia"/>
              </w:rPr>
              <w:t>，原厂商三年保修服务，货物要求原厂商原包件，不可拆封，</w:t>
            </w:r>
            <w:r w:rsidRPr="00C619FD">
              <w:rPr>
                <w:rFonts w:hint="eastAsia"/>
              </w:rPr>
              <w:t>在签订合同前需</w:t>
            </w:r>
            <w:r w:rsidRPr="00C619FD">
              <w:t>提供原厂商授权函及售后服务承诺函给甲方进行核对</w:t>
            </w:r>
            <w:r w:rsidRPr="00C619FD">
              <w:rPr>
                <w:rFonts w:hint="eastAsia"/>
              </w:rPr>
              <w:t>。只接受服务器原厂商技术上门安装调试服务（调试时提供原厂工作证），并协助用户做旧服务器迁移数据到新服务器上面；调试通过后方可验收。</w:t>
            </w:r>
          </w:p>
          <w:p w:rsidR="008C1313" w:rsidRDefault="008C1313" w:rsidP="00E15709">
            <w:pPr>
              <w:jc w:val="center"/>
            </w:pPr>
            <w:r>
              <w:t>2</w:t>
            </w:r>
            <w:r>
              <w:rPr>
                <w:rFonts w:hint="eastAsia"/>
              </w:rPr>
              <w:t>）</w:t>
            </w:r>
            <w:r>
              <w:t>配置</w:t>
            </w:r>
            <w:r>
              <w:t>1</w:t>
            </w:r>
            <w:r>
              <w:rPr>
                <w:rFonts w:hint="eastAsia"/>
              </w:rPr>
              <w:t>台阿里云服务器，要求规格不小于</w:t>
            </w:r>
            <w:r>
              <w:rPr>
                <w:rFonts w:hint="eastAsia"/>
              </w:rPr>
              <w:t>8</w:t>
            </w:r>
            <w:r>
              <w:rPr>
                <w:rFonts w:hint="eastAsia"/>
              </w:rPr>
              <w:t>核</w:t>
            </w:r>
            <w:r>
              <w:rPr>
                <w:rFonts w:hint="eastAsia"/>
              </w:rPr>
              <w:t>64G</w:t>
            </w:r>
            <w:r>
              <w:rPr>
                <w:rFonts w:hint="eastAsia"/>
              </w:rPr>
              <w:t>，提供</w:t>
            </w:r>
            <w:r w:rsidRPr="005C2C21">
              <w:rPr>
                <w:rFonts w:hint="eastAsia"/>
              </w:rPr>
              <w:t>Linux Enterprise Server 12 SP1 64</w:t>
            </w:r>
            <w:r w:rsidRPr="005C2C21">
              <w:rPr>
                <w:rFonts w:hint="eastAsia"/>
              </w:rPr>
              <w:t>位</w:t>
            </w:r>
            <w:r>
              <w:rPr>
                <w:rFonts w:hint="eastAsia"/>
              </w:rPr>
              <w:t>操作系统镜像，不小于</w:t>
            </w:r>
            <w:r>
              <w:rPr>
                <w:rFonts w:hint="eastAsia"/>
              </w:rPr>
              <w:t>1200G</w:t>
            </w:r>
            <w:proofErr w:type="gramStart"/>
            <w:r>
              <w:rPr>
                <w:rFonts w:hint="eastAsia"/>
              </w:rPr>
              <w:t>高效云</w:t>
            </w:r>
            <w:proofErr w:type="gramEnd"/>
            <w:r>
              <w:rPr>
                <w:rFonts w:hint="eastAsia"/>
              </w:rPr>
              <w:t>盘，</w:t>
            </w:r>
            <w:r>
              <w:t>必须</w:t>
            </w:r>
            <w:r>
              <w:rPr>
                <w:rFonts w:hint="eastAsia"/>
              </w:rPr>
              <w:t>搭配阿里云</w:t>
            </w:r>
            <w:r>
              <w:t>的</w:t>
            </w:r>
            <w:r w:rsidRPr="00A85BA3">
              <w:rPr>
                <w:b/>
              </w:rPr>
              <w:t>实例</w:t>
            </w:r>
            <w:r w:rsidRPr="00A85BA3">
              <w:rPr>
                <w:rFonts w:hint="eastAsia"/>
                <w:b/>
              </w:rPr>
              <w:t>2</w:t>
            </w:r>
            <w:r>
              <w:rPr>
                <w:rFonts w:hint="eastAsia"/>
              </w:rPr>
              <w:t>，带宽不少于</w:t>
            </w:r>
            <w:r>
              <w:rPr>
                <w:rFonts w:hint="eastAsia"/>
              </w:rPr>
              <w:t>5Mbps,</w:t>
            </w:r>
            <w:r>
              <w:rPr>
                <w:rFonts w:hint="eastAsia"/>
              </w:rPr>
              <w:t>提供不少于</w:t>
            </w:r>
            <w:r>
              <w:t>3</w:t>
            </w:r>
            <w:r>
              <w:rPr>
                <w:rFonts w:hint="eastAsia"/>
              </w:rPr>
              <w:t>年服务期限。要求中标单位提供技术咨询支持服务，协助用户将应用部署至云平台，解决客户技术困难。</w:t>
            </w:r>
          </w:p>
        </w:tc>
        <w:tc>
          <w:tcPr>
            <w:tcW w:w="672" w:type="pct"/>
            <w:vAlign w:val="center"/>
          </w:tcPr>
          <w:p w:rsidR="008C1313" w:rsidRDefault="008C1313" w:rsidP="00E15709">
            <w:pPr>
              <w:jc w:val="center"/>
            </w:pPr>
            <w:r>
              <w:t>2</w:t>
            </w:r>
            <w:r>
              <w:rPr>
                <w:rFonts w:hint="eastAsia"/>
              </w:rPr>
              <w:t>套</w:t>
            </w:r>
          </w:p>
        </w:tc>
        <w:tc>
          <w:tcPr>
            <w:tcW w:w="672" w:type="pct"/>
            <w:vAlign w:val="center"/>
          </w:tcPr>
          <w:p w:rsidR="008C1313" w:rsidRDefault="008C1313" w:rsidP="008C1313">
            <w:pPr>
              <w:jc w:val="center"/>
            </w:pPr>
            <w:r>
              <w:t xml:space="preserve"> </w:t>
            </w:r>
          </w:p>
        </w:tc>
        <w:tc>
          <w:tcPr>
            <w:tcW w:w="449" w:type="pct"/>
          </w:tcPr>
          <w:p w:rsidR="008C1313" w:rsidRDefault="008C1313" w:rsidP="00E15709">
            <w:pPr>
              <w:jc w:val="center"/>
            </w:pPr>
          </w:p>
        </w:tc>
      </w:tr>
      <w:tr w:rsidR="008C1313" w:rsidTr="006C1121">
        <w:trPr>
          <w:trHeight w:val="2330"/>
        </w:trPr>
        <w:tc>
          <w:tcPr>
            <w:tcW w:w="731" w:type="pct"/>
            <w:vAlign w:val="center"/>
          </w:tcPr>
          <w:p w:rsidR="008C1313" w:rsidRDefault="008C1313" w:rsidP="00E15709">
            <w:pPr>
              <w:jc w:val="center"/>
            </w:pPr>
            <w:r>
              <w:rPr>
                <w:rFonts w:hint="eastAsia"/>
              </w:rPr>
              <w:t>联想服务器</w:t>
            </w:r>
          </w:p>
          <w:p w:rsidR="008C1313" w:rsidRDefault="008C1313" w:rsidP="00E15709">
            <w:pPr>
              <w:jc w:val="center"/>
            </w:pPr>
            <w:r>
              <w:rPr>
                <w:rFonts w:hint="eastAsia"/>
              </w:rPr>
              <w:t>X3650M5</w:t>
            </w:r>
          </w:p>
        </w:tc>
        <w:tc>
          <w:tcPr>
            <w:tcW w:w="2476" w:type="pct"/>
            <w:vAlign w:val="center"/>
          </w:tcPr>
          <w:p w:rsidR="008C1313" w:rsidRDefault="008C1313" w:rsidP="00E15709">
            <w:pPr>
              <w:jc w:val="center"/>
            </w:pPr>
            <w:r>
              <w:rPr>
                <w:rFonts w:hint="eastAsia"/>
              </w:rPr>
              <w:t>1</w:t>
            </w:r>
            <w:r>
              <w:t>）</w:t>
            </w:r>
            <w:r w:rsidRPr="008075DA">
              <w:rPr>
                <w:rFonts w:hint="eastAsia"/>
              </w:rPr>
              <w:t>配置</w:t>
            </w:r>
            <w:r w:rsidRPr="008075DA">
              <w:rPr>
                <w:rFonts w:hint="eastAsia"/>
              </w:rPr>
              <w:t>1</w:t>
            </w:r>
            <w:r w:rsidRPr="008075DA">
              <w:rPr>
                <w:rFonts w:hint="eastAsia"/>
              </w:rPr>
              <w:t>个</w:t>
            </w:r>
            <w:r w:rsidRPr="008075DA">
              <w:rPr>
                <w:rFonts w:hint="eastAsia"/>
              </w:rPr>
              <w:t>E5-2630v4 10</w:t>
            </w:r>
            <w:r w:rsidRPr="008075DA">
              <w:rPr>
                <w:rFonts w:hint="eastAsia"/>
              </w:rPr>
              <w:t>核</w:t>
            </w:r>
            <w:r w:rsidRPr="008075DA">
              <w:rPr>
                <w:rFonts w:hint="eastAsia"/>
              </w:rPr>
              <w:t xml:space="preserve"> </w:t>
            </w:r>
            <w:r w:rsidRPr="008075DA">
              <w:rPr>
                <w:rFonts w:hint="eastAsia"/>
              </w:rPr>
              <w:t>主频</w:t>
            </w:r>
            <w:r w:rsidRPr="008075DA">
              <w:rPr>
                <w:rFonts w:hint="eastAsia"/>
              </w:rPr>
              <w:t>2.2GHZ 25MB</w:t>
            </w:r>
            <w:r w:rsidRPr="008075DA">
              <w:rPr>
                <w:rFonts w:hint="eastAsia"/>
              </w:rPr>
              <w:t>处理器，配置</w:t>
            </w:r>
            <w:r w:rsidRPr="008075DA">
              <w:rPr>
                <w:rFonts w:hint="eastAsia"/>
              </w:rPr>
              <w:t>2</w:t>
            </w:r>
            <w:r w:rsidRPr="008075DA">
              <w:rPr>
                <w:rFonts w:hint="eastAsia"/>
              </w:rPr>
              <w:t>条</w:t>
            </w:r>
            <w:r w:rsidRPr="008075DA">
              <w:rPr>
                <w:rFonts w:hint="eastAsia"/>
              </w:rPr>
              <w:t>16GB DDR4</w:t>
            </w:r>
            <w:r w:rsidRPr="008075DA">
              <w:rPr>
                <w:rFonts w:hint="eastAsia"/>
              </w:rPr>
              <w:t>内存</w:t>
            </w:r>
            <w:r w:rsidRPr="008075DA">
              <w:rPr>
                <w:rFonts w:hint="eastAsia"/>
              </w:rPr>
              <w:t>,</w:t>
            </w:r>
            <w:proofErr w:type="gramStart"/>
            <w:r w:rsidRPr="008075DA">
              <w:rPr>
                <w:rFonts w:hint="eastAsia"/>
              </w:rPr>
              <w:t>标配</w:t>
            </w:r>
            <w:proofErr w:type="gramEnd"/>
            <w:r w:rsidRPr="008075DA">
              <w:rPr>
                <w:rFonts w:hint="eastAsia"/>
              </w:rPr>
              <w:t>8x2.5"</w:t>
            </w:r>
            <w:r w:rsidRPr="008075DA">
              <w:rPr>
                <w:rFonts w:hint="eastAsia"/>
              </w:rPr>
              <w:t>盘位，本次配置</w:t>
            </w:r>
            <w:r w:rsidRPr="008075DA">
              <w:rPr>
                <w:rFonts w:hint="eastAsia"/>
              </w:rPr>
              <w:t>4</w:t>
            </w:r>
            <w:r w:rsidRPr="008075DA">
              <w:rPr>
                <w:rFonts w:hint="eastAsia"/>
              </w:rPr>
              <w:t>块</w:t>
            </w:r>
            <w:r w:rsidRPr="008075DA">
              <w:rPr>
                <w:rFonts w:hint="eastAsia"/>
              </w:rPr>
              <w:t>600G 10K SAS</w:t>
            </w:r>
            <w:r w:rsidRPr="008075DA">
              <w:rPr>
                <w:rFonts w:hint="eastAsia"/>
              </w:rPr>
              <w:t>硬盘，</w:t>
            </w:r>
            <w:r w:rsidRPr="008075DA">
              <w:rPr>
                <w:rFonts w:hint="eastAsia"/>
              </w:rPr>
              <w:t xml:space="preserve"> </w:t>
            </w:r>
            <w:r w:rsidRPr="008075DA">
              <w:rPr>
                <w:rFonts w:hint="eastAsia"/>
              </w:rPr>
              <w:t>开放式托架</w:t>
            </w:r>
            <w:r w:rsidRPr="008075DA">
              <w:rPr>
                <w:rFonts w:hint="eastAsia"/>
              </w:rPr>
              <w:t>, M5210 Raid 0,1,</w:t>
            </w:r>
            <w:r w:rsidRPr="008075DA">
              <w:rPr>
                <w:rFonts w:hint="eastAsia"/>
              </w:rPr>
              <w:t>配置</w:t>
            </w:r>
            <w:r w:rsidRPr="008075DA">
              <w:rPr>
                <w:rFonts w:hint="eastAsia"/>
              </w:rPr>
              <w:t>1</w:t>
            </w:r>
            <w:r w:rsidRPr="008075DA">
              <w:rPr>
                <w:rFonts w:hint="eastAsia"/>
              </w:rPr>
              <w:t>个</w:t>
            </w:r>
            <w:r w:rsidRPr="008075DA">
              <w:rPr>
                <w:rFonts w:hint="eastAsia"/>
              </w:rPr>
              <w:t>550W</w:t>
            </w:r>
            <w:r w:rsidRPr="008075DA">
              <w:rPr>
                <w:rFonts w:hint="eastAsia"/>
              </w:rPr>
              <w:t>白金电源，</w:t>
            </w:r>
            <w:r w:rsidRPr="008075DA">
              <w:rPr>
                <w:rFonts w:hint="eastAsia"/>
              </w:rPr>
              <w:t>DVD-RW</w:t>
            </w:r>
            <w:r w:rsidRPr="008075DA">
              <w:rPr>
                <w:rFonts w:hint="eastAsia"/>
              </w:rPr>
              <w:t>，原厂商三年保修服务，货物要求原厂商原包件，不可拆封。</w:t>
            </w:r>
            <w:r w:rsidRPr="00C619FD">
              <w:rPr>
                <w:rFonts w:hint="eastAsia"/>
              </w:rPr>
              <w:t>在签订合同前需提供原厂商授权函及售后服务承诺函给甲方进行核对。只接受服务器原厂商技术上门安装调试服务（调试时提供原厂工作证），并协助用户做旧服务器迁移数据到新服务器上面；调试通过后方可验收。</w:t>
            </w:r>
          </w:p>
        </w:tc>
        <w:tc>
          <w:tcPr>
            <w:tcW w:w="672" w:type="pct"/>
            <w:vAlign w:val="center"/>
          </w:tcPr>
          <w:p w:rsidR="008C1313" w:rsidRDefault="008C1313" w:rsidP="00E15709">
            <w:pPr>
              <w:jc w:val="center"/>
            </w:pPr>
            <w:r>
              <w:t>2</w:t>
            </w:r>
            <w:r>
              <w:rPr>
                <w:rFonts w:hint="eastAsia"/>
              </w:rPr>
              <w:t>套</w:t>
            </w:r>
          </w:p>
        </w:tc>
        <w:tc>
          <w:tcPr>
            <w:tcW w:w="672" w:type="pct"/>
            <w:vAlign w:val="center"/>
          </w:tcPr>
          <w:p w:rsidR="008C1313" w:rsidRDefault="008C1313" w:rsidP="00E15709">
            <w:pPr>
              <w:jc w:val="center"/>
            </w:pPr>
          </w:p>
        </w:tc>
        <w:tc>
          <w:tcPr>
            <w:tcW w:w="449" w:type="pct"/>
          </w:tcPr>
          <w:p w:rsidR="008C1313" w:rsidRDefault="008C1313" w:rsidP="00E15709">
            <w:pPr>
              <w:jc w:val="center"/>
            </w:pPr>
          </w:p>
        </w:tc>
      </w:tr>
    </w:tbl>
    <w:p w:rsidR="000550C1" w:rsidRDefault="000550C1">
      <w:pPr>
        <w:spacing w:line="360" w:lineRule="auto"/>
        <w:rPr>
          <w:rFonts w:ascii="仿宋" w:eastAsia="仿宋" w:hAnsi="仿宋" w:cs="Times New Roman"/>
          <w:sz w:val="24"/>
          <w:szCs w:val="24"/>
        </w:rPr>
      </w:pPr>
    </w:p>
    <w:p w:rsidR="006C1121" w:rsidRDefault="006C1121">
      <w:pPr>
        <w:spacing w:line="360" w:lineRule="auto"/>
        <w:rPr>
          <w:rFonts w:ascii="仿宋" w:eastAsia="仿宋" w:hAnsi="仿宋" w:cs="仿宋"/>
          <w:sz w:val="24"/>
          <w:szCs w:val="24"/>
        </w:rPr>
      </w:pPr>
    </w:p>
    <w:p w:rsidR="000550C1" w:rsidRDefault="00AD31C3">
      <w:pPr>
        <w:spacing w:line="360" w:lineRule="auto"/>
        <w:rPr>
          <w:rFonts w:ascii="仿宋" w:eastAsia="仿宋" w:hAnsi="仿宋" w:cs="Times New Roman"/>
          <w:sz w:val="24"/>
          <w:szCs w:val="24"/>
        </w:rPr>
      </w:pPr>
      <w:r>
        <w:rPr>
          <w:rFonts w:ascii="仿宋" w:eastAsia="仿宋" w:hAnsi="仿宋" w:cs="仿宋" w:hint="eastAsia"/>
          <w:sz w:val="24"/>
          <w:szCs w:val="24"/>
        </w:rPr>
        <w:lastRenderedPageBreak/>
        <w:t>注：</w:t>
      </w:r>
    </w:p>
    <w:p w:rsidR="000550C1" w:rsidRDefault="00AD31C3">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报价含税，可普票，要求密封送达，报价文件材料需加盖公章。报价清单一式五份。</w:t>
      </w:r>
    </w:p>
    <w:p w:rsidR="000550C1" w:rsidRPr="00531B30" w:rsidRDefault="00AD31C3">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报价应包括检修、随机零配件、</w:t>
      </w:r>
      <w:proofErr w:type="gramStart"/>
      <w:r>
        <w:rPr>
          <w:rFonts w:ascii="仿宋" w:eastAsia="仿宋" w:hAnsi="仿宋" w:cs="仿宋" w:hint="eastAsia"/>
          <w:sz w:val="24"/>
          <w:szCs w:val="24"/>
        </w:rPr>
        <w:t>标配工具</w:t>
      </w:r>
      <w:proofErr w:type="gramEnd"/>
      <w:r>
        <w:rPr>
          <w:rFonts w:ascii="仿宋" w:eastAsia="仿宋" w:hAnsi="仿宋" w:cs="仿宋" w:hint="eastAsia"/>
          <w:sz w:val="24"/>
          <w:szCs w:val="24"/>
        </w:rPr>
        <w:t>、包装、运输、装卸、搬运、保险、安装、调试、验收、质保服务、各项税费及合同实施过程中不可预见的所有费用。</w:t>
      </w:r>
    </w:p>
    <w:p w:rsidR="00531B30" w:rsidRPr="00531B30" w:rsidRDefault="00531B30" w:rsidP="00531B30">
      <w:pPr>
        <w:pStyle w:val="1"/>
        <w:numPr>
          <w:ilvl w:val="0"/>
          <w:numId w:val="1"/>
        </w:numPr>
        <w:spacing w:line="360" w:lineRule="auto"/>
        <w:ind w:firstLineChars="0"/>
        <w:rPr>
          <w:rFonts w:ascii="仿宋" w:eastAsia="仿宋" w:hAnsi="仿宋" w:cs="Times New Roman"/>
          <w:sz w:val="24"/>
          <w:szCs w:val="24"/>
        </w:rPr>
      </w:pPr>
      <w:r w:rsidRPr="00531B30">
        <w:rPr>
          <w:rFonts w:ascii="仿宋" w:eastAsia="仿宋" w:hAnsi="仿宋" w:cs="Times New Roman" w:hint="eastAsia"/>
          <w:sz w:val="24"/>
          <w:szCs w:val="24"/>
        </w:rPr>
        <w:t>1）要求机器由生产制造商直接发至用户端，不经过第三方物流，包装箱上写明“中山大学新华学院”，机器根据主机序列号配置</w:t>
      </w:r>
      <w:proofErr w:type="gramStart"/>
      <w:r w:rsidRPr="00531B30">
        <w:rPr>
          <w:rFonts w:ascii="仿宋" w:eastAsia="仿宋" w:hAnsi="仿宋" w:cs="Times New Roman" w:hint="eastAsia"/>
          <w:sz w:val="24"/>
          <w:szCs w:val="24"/>
        </w:rPr>
        <w:t>在官网可查</w:t>
      </w:r>
      <w:proofErr w:type="gramEnd"/>
      <w:r w:rsidRPr="00531B30">
        <w:rPr>
          <w:rFonts w:ascii="仿宋" w:eastAsia="仿宋" w:hAnsi="仿宋" w:cs="Times New Roman" w:hint="eastAsia"/>
          <w:sz w:val="24"/>
          <w:szCs w:val="24"/>
        </w:rPr>
        <w:t>，且与此次要求一一匹配，否则不予验收；2）生产制造商提供三年现场保修服务，生产日期在供货前20个工作日内，供货时提供原厂供货证明函；3）生产制造商除提供原厂硬件报修服务外，同时额外提供操作系统、虚拟化软件和数据库支持服务，包括Windows Server、</w:t>
      </w:r>
      <w:proofErr w:type="spellStart"/>
      <w:r w:rsidRPr="00531B30">
        <w:rPr>
          <w:rFonts w:ascii="仿宋" w:eastAsia="仿宋" w:hAnsi="仿宋" w:cs="Times New Roman" w:hint="eastAsia"/>
          <w:sz w:val="24"/>
          <w:szCs w:val="24"/>
        </w:rPr>
        <w:t>RedHat</w:t>
      </w:r>
      <w:proofErr w:type="spellEnd"/>
      <w:r w:rsidRPr="00531B30">
        <w:rPr>
          <w:rFonts w:ascii="仿宋" w:eastAsia="仿宋" w:hAnsi="仿宋" w:cs="Times New Roman" w:hint="eastAsia"/>
          <w:sz w:val="24"/>
          <w:szCs w:val="24"/>
        </w:rPr>
        <w:t xml:space="preserve"> Linux、SUSE Linux、</w:t>
      </w:r>
      <w:proofErr w:type="spellStart"/>
      <w:r w:rsidRPr="00531B30">
        <w:rPr>
          <w:rFonts w:ascii="仿宋" w:eastAsia="仿宋" w:hAnsi="仿宋" w:cs="Times New Roman" w:hint="eastAsia"/>
          <w:sz w:val="24"/>
          <w:szCs w:val="24"/>
        </w:rPr>
        <w:t>SureHA</w:t>
      </w:r>
      <w:proofErr w:type="spellEnd"/>
      <w:r w:rsidRPr="00531B30">
        <w:rPr>
          <w:rFonts w:ascii="仿宋" w:eastAsia="仿宋" w:hAnsi="仿宋" w:cs="Times New Roman" w:hint="eastAsia"/>
          <w:sz w:val="24"/>
          <w:szCs w:val="24"/>
        </w:rPr>
        <w:t>、VMware、Oracle DB、SQL Server的L1及L2电话/Email/远程技术支持，需提供可供</w:t>
      </w:r>
      <w:proofErr w:type="gramStart"/>
      <w:r w:rsidRPr="00531B30">
        <w:rPr>
          <w:rFonts w:ascii="仿宋" w:eastAsia="仿宋" w:hAnsi="仿宋" w:cs="Times New Roman" w:hint="eastAsia"/>
          <w:sz w:val="24"/>
          <w:szCs w:val="24"/>
        </w:rPr>
        <w:t>查证官网热线电话</w:t>
      </w:r>
      <w:proofErr w:type="gramEnd"/>
      <w:r w:rsidRPr="00531B30">
        <w:rPr>
          <w:rFonts w:ascii="仿宋" w:eastAsia="仿宋" w:hAnsi="仿宋" w:cs="Times New Roman" w:hint="eastAsia"/>
          <w:sz w:val="24"/>
          <w:szCs w:val="24"/>
        </w:rPr>
        <w:t>进行查验。</w:t>
      </w:r>
    </w:p>
    <w:p w:rsidR="000550C1" w:rsidRDefault="00AD31C3">
      <w:pPr>
        <w:pStyle w:val="1"/>
        <w:numPr>
          <w:ilvl w:val="0"/>
          <w:numId w:val="1"/>
        </w:numPr>
        <w:spacing w:line="360" w:lineRule="auto"/>
        <w:ind w:firstLineChars="0"/>
        <w:rPr>
          <w:rFonts w:ascii="仿宋" w:eastAsia="仿宋" w:hAnsi="仿宋" w:cs="Times New Roman"/>
          <w:color w:val="FF0000"/>
          <w:sz w:val="24"/>
          <w:szCs w:val="24"/>
        </w:rPr>
      </w:pPr>
      <w:r>
        <w:rPr>
          <w:rFonts w:ascii="仿宋" w:eastAsia="仿宋" w:hAnsi="仿宋" w:cs="仿宋" w:hint="eastAsia"/>
          <w:color w:val="FF0000"/>
          <w:sz w:val="24"/>
          <w:szCs w:val="24"/>
        </w:rPr>
        <w:t>密封报价截止时间及方式</w:t>
      </w:r>
    </w:p>
    <w:p w:rsidR="000550C1" w:rsidRDefault="00AD31C3">
      <w:pPr>
        <w:pStyle w:val="1"/>
        <w:spacing w:line="360" w:lineRule="auto"/>
        <w:ind w:left="420" w:firstLineChars="0" w:firstLine="0"/>
        <w:rPr>
          <w:rFonts w:ascii="仿宋" w:eastAsia="仿宋" w:hAnsi="仿宋" w:cs="仿宋"/>
          <w:sz w:val="24"/>
          <w:szCs w:val="24"/>
        </w:rPr>
      </w:pPr>
      <w:r>
        <w:rPr>
          <w:rFonts w:ascii="仿宋" w:eastAsia="仿宋" w:hAnsi="仿宋" w:cs="仿宋" w:hint="eastAsia"/>
          <w:color w:val="FF0000"/>
          <w:sz w:val="24"/>
          <w:szCs w:val="24"/>
        </w:rPr>
        <w:t>截止时间：</w:t>
      </w:r>
      <w:r>
        <w:rPr>
          <w:rFonts w:ascii="仿宋" w:eastAsia="仿宋" w:hAnsi="仿宋" w:cs="仿宋"/>
          <w:color w:val="FF0000"/>
          <w:sz w:val="24"/>
          <w:szCs w:val="24"/>
        </w:rPr>
        <w:t>201</w:t>
      </w:r>
      <w:r>
        <w:rPr>
          <w:rFonts w:ascii="仿宋" w:eastAsia="仿宋" w:hAnsi="仿宋" w:cs="仿宋" w:hint="eastAsia"/>
          <w:color w:val="FF0000"/>
          <w:sz w:val="24"/>
          <w:szCs w:val="24"/>
        </w:rPr>
        <w:t>6年1</w:t>
      </w:r>
      <w:r w:rsidR="006C1121">
        <w:rPr>
          <w:rFonts w:ascii="仿宋" w:eastAsia="仿宋" w:hAnsi="仿宋" w:cs="仿宋" w:hint="eastAsia"/>
          <w:color w:val="FF0000"/>
          <w:sz w:val="24"/>
          <w:szCs w:val="24"/>
        </w:rPr>
        <w:t>2</w:t>
      </w:r>
      <w:r>
        <w:rPr>
          <w:rFonts w:ascii="仿宋" w:eastAsia="仿宋" w:hAnsi="仿宋" w:cs="仿宋" w:hint="eastAsia"/>
          <w:color w:val="FF0000"/>
          <w:sz w:val="24"/>
          <w:szCs w:val="24"/>
        </w:rPr>
        <w:t>月</w:t>
      </w:r>
      <w:r>
        <w:rPr>
          <w:rFonts w:ascii="仿宋" w:eastAsia="仿宋" w:hAnsi="仿宋" w:cs="仿宋"/>
          <w:color w:val="FF0000"/>
          <w:sz w:val="24"/>
          <w:szCs w:val="24"/>
        </w:rPr>
        <w:t xml:space="preserve"> </w:t>
      </w:r>
      <w:r>
        <w:rPr>
          <w:rFonts w:ascii="仿宋" w:eastAsia="仿宋" w:hAnsi="仿宋" w:cs="仿宋" w:hint="eastAsia"/>
          <w:color w:val="FF0000"/>
          <w:sz w:val="24"/>
          <w:szCs w:val="24"/>
        </w:rPr>
        <w:t>1日16</w:t>
      </w:r>
      <w:r>
        <w:rPr>
          <w:rFonts w:ascii="仿宋" w:eastAsia="仿宋" w:hAnsi="仿宋" w:cs="仿宋"/>
          <w:color w:val="FF0000"/>
          <w:sz w:val="24"/>
          <w:szCs w:val="24"/>
        </w:rPr>
        <w:t>:00</w:t>
      </w:r>
      <w:r>
        <w:rPr>
          <w:rFonts w:ascii="仿宋" w:eastAsia="仿宋" w:hAnsi="仿宋" w:cs="仿宋" w:hint="eastAsia"/>
          <w:color w:val="FF0000"/>
          <w:sz w:val="24"/>
          <w:szCs w:val="24"/>
        </w:rPr>
        <w:t>时前递交投标文件</w:t>
      </w:r>
      <w:r>
        <w:rPr>
          <w:rFonts w:ascii="仿宋" w:eastAsia="仿宋" w:hAnsi="仿宋" w:cs="仿宋" w:hint="eastAsia"/>
          <w:sz w:val="24"/>
          <w:szCs w:val="24"/>
        </w:rPr>
        <w:t>。</w:t>
      </w:r>
    </w:p>
    <w:p w:rsidR="000550C1" w:rsidRDefault="00AD31C3">
      <w:pPr>
        <w:pStyle w:val="1"/>
        <w:spacing w:line="360" w:lineRule="auto"/>
        <w:ind w:left="420" w:firstLineChars="0" w:firstLine="0"/>
        <w:rPr>
          <w:rFonts w:ascii="仿宋" w:eastAsia="仿宋" w:hAnsi="仿宋" w:cs="Times New Roman"/>
          <w:sz w:val="24"/>
          <w:szCs w:val="24"/>
        </w:rPr>
      </w:pPr>
      <w:r>
        <w:rPr>
          <w:rFonts w:ascii="仿宋" w:eastAsia="仿宋" w:hAnsi="仿宋" w:cs="仿宋" w:hint="eastAsia"/>
          <w:sz w:val="24"/>
          <w:szCs w:val="24"/>
        </w:rPr>
        <w:t>送达方式：直接送达，密封袋需注明公司名称、联系人及联系方式</w:t>
      </w:r>
      <w:r w:rsidR="00C619FD">
        <w:rPr>
          <w:rFonts w:ascii="仿宋" w:eastAsia="仿宋" w:hAnsi="仿宋" w:cs="仿宋" w:hint="eastAsia"/>
          <w:sz w:val="24"/>
          <w:szCs w:val="24"/>
        </w:rPr>
        <w:t>、邮箱</w:t>
      </w:r>
      <w:bookmarkStart w:id="0" w:name="_GoBack"/>
      <w:bookmarkEnd w:id="0"/>
      <w:r>
        <w:rPr>
          <w:rFonts w:ascii="仿宋" w:eastAsia="仿宋" w:hAnsi="仿宋" w:cs="仿宋" w:hint="eastAsia"/>
          <w:sz w:val="24"/>
          <w:szCs w:val="24"/>
        </w:rPr>
        <w:t>。</w:t>
      </w:r>
    </w:p>
    <w:p w:rsidR="000550C1" w:rsidRDefault="00AD31C3">
      <w:pPr>
        <w:pStyle w:val="1"/>
        <w:spacing w:line="360" w:lineRule="auto"/>
        <w:ind w:left="420" w:firstLineChars="0" w:firstLine="0"/>
        <w:rPr>
          <w:rFonts w:ascii="仿宋" w:eastAsia="仿宋" w:hAnsi="仿宋" w:cs="仿宋"/>
          <w:sz w:val="24"/>
          <w:szCs w:val="24"/>
        </w:rPr>
      </w:pPr>
      <w:r>
        <w:rPr>
          <w:rFonts w:ascii="仿宋" w:eastAsia="仿宋" w:hAnsi="仿宋" w:cs="仿宋" w:hint="eastAsia"/>
          <w:sz w:val="24"/>
          <w:szCs w:val="24"/>
        </w:rPr>
        <w:t>送达地址：东莞市麻涌镇</w:t>
      </w:r>
      <w:proofErr w:type="gramStart"/>
      <w:r>
        <w:rPr>
          <w:rFonts w:ascii="仿宋" w:eastAsia="仿宋" w:hAnsi="仿宋" w:cs="仿宋" w:hint="eastAsia"/>
          <w:sz w:val="24"/>
          <w:szCs w:val="24"/>
        </w:rPr>
        <w:t>沿江西</w:t>
      </w:r>
      <w:proofErr w:type="gramEnd"/>
      <w:r>
        <w:rPr>
          <w:rFonts w:ascii="仿宋" w:eastAsia="仿宋" w:hAnsi="仿宋" w:cs="仿宋" w:hint="eastAsia"/>
          <w:sz w:val="24"/>
          <w:szCs w:val="24"/>
        </w:rPr>
        <w:t>一路7号中山大学新华学院行政楼A214。</w:t>
      </w:r>
    </w:p>
    <w:p w:rsidR="000550C1" w:rsidRDefault="00AD31C3">
      <w:pPr>
        <w:pStyle w:val="1"/>
        <w:spacing w:line="360" w:lineRule="auto"/>
        <w:ind w:left="420" w:firstLineChars="0" w:firstLine="0"/>
        <w:rPr>
          <w:rFonts w:ascii="仿宋" w:eastAsia="仿宋" w:hAnsi="仿宋" w:cs="Times New Roman"/>
          <w:sz w:val="24"/>
          <w:szCs w:val="24"/>
        </w:rPr>
      </w:pPr>
      <w:r>
        <w:rPr>
          <w:rFonts w:ascii="仿宋" w:eastAsia="仿宋" w:hAnsi="仿宋" w:cs="仿宋" w:hint="eastAsia"/>
          <w:sz w:val="24"/>
          <w:szCs w:val="24"/>
        </w:rPr>
        <w:t>联系人：王老师，0769-82676032,18122888902。</w:t>
      </w:r>
    </w:p>
    <w:p w:rsidR="000550C1" w:rsidRDefault="00AD31C3">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免费送货上门，上门服务，验收合格后付款。</w:t>
      </w:r>
    </w:p>
    <w:p w:rsidR="000550C1" w:rsidRDefault="00AD31C3">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付款方式：转账或支票，付款前提供正规发票。</w:t>
      </w:r>
    </w:p>
    <w:p w:rsidR="000550C1" w:rsidRDefault="00AD31C3">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报价文件应注明供货期、质保期及售后服务承诺。</w:t>
      </w:r>
    </w:p>
    <w:p w:rsidR="000550C1" w:rsidRDefault="00AD31C3">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需提供授权委托书及身份证复印件。</w:t>
      </w:r>
    </w:p>
    <w:p w:rsidR="000550C1" w:rsidRDefault="00AD31C3">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应提交营业执照、税务登记证、组织机构代码证三证副本复印件。</w:t>
      </w:r>
    </w:p>
    <w:p w:rsidR="000550C1" w:rsidRDefault="00AD31C3">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公司介绍（资质、业绩，同类产品案例合同等）、产品介绍。</w:t>
      </w:r>
    </w:p>
    <w:p w:rsidR="000550C1" w:rsidRDefault="00AD31C3">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Times New Roman" w:hint="eastAsia"/>
          <w:sz w:val="24"/>
          <w:szCs w:val="24"/>
        </w:rPr>
        <w:t>如有技术疑问或需要看现场，可联系：</w:t>
      </w:r>
      <w:r w:rsidR="006C1121">
        <w:rPr>
          <w:rFonts w:ascii="仿宋" w:eastAsia="仿宋" w:hAnsi="仿宋" w:cs="Times New Roman" w:hint="eastAsia"/>
          <w:sz w:val="24"/>
          <w:szCs w:val="24"/>
        </w:rPr>
        <w:t>陈锦煌</w:t>
      </w:r>
      <w:r>
        <w:rPr>
          <w:rFonts w:ascii="仿宋" w:eastAsia="仿宋" w:hAnsi="仿宋" w:cs="Times New Roman" w:hint="eastAsia"/>
          <w:sz w:val="24"/>
          <w:szCs w:val="24"/>
        </w:rPr>
        <w:t>，</w:t>
      </w:r>
      <w:r w:rsidR="006C1121">
        <w:rPr>
          <w:rFonts w:ascii="仿宋" w:eastAsia="仿宋" w:hAnsi="仿宋" w:cs="Times New Roman" w:hint="eastAsia"/>
          <w:sz w:val="24"/>
          <w:szCs w:val="24"/>
        </w:rPr>
        <w:t>13316681612</w:t>
      </w:r>
      <w:r>
        <w:rPr>
          <w:rFonts w:ascii="仿宋" w:eastAsia="仿宋" w:hAnsi="仿宋" w:cs="Times New Roman" w:hint="eastAsia"/>
          <w:sz w:val="24"/>
          <w:szCs w:val="24"/>
        </w:rPr>
        <w:t>。</w:t>
      </w:r>
    </w:p>
    <w:p w:rsidR="000550C1" w:rsidRDefault="000550C1">
      <w:pPr>
        <w:spacing w:line="276" w:lineRule="auto"/>
        <w:rPr>
          <w:rFonts w:cs="宋体"/>
        </w:rPr>
      </w:pPr>
    </w:p>
    <w:p w:rsidR="000550C1" w:rsidRDefault="000550C1">
      <w:pPr>
        <w:spacing w:line="276" w:lineRule="auto"/>
        <w:rPr>
          <w:rFonts w:ascii="仿宋" w:eastAsia="仿宋" w:hAnsi="仿宋" w:cs="宋体"/>
          <w:b/>
          <w:sz w:val="24"/>
          <w:szCs w:val="24"/>
        </w:rPr>
      </w:pPr>
    </w:p>
    <w:sectPr w:rsidR="000550C1">
      <w:headerReference w:type="default" r:id="rId9"/>
      <w:footerReference w:type="default" r:id="rId10"/>
      <w:pgSz w:w="11906" w:h="16838"/>
      <w:pgMar w:top="1245" w:right="1416" w:bottom="1276" w:left="1418" w:header="709" w:footer="74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880" w:rsidRDefault="00F64880">
      <w:r>
        <w:separator/>
      </w:r>
    </w:p>
  </w:endnote>
  <w:endnote w:type="continuationSeparator" w:id="0">
    <w:p w:rsidR="00F64880" w:rsidRDefault="00F6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0C1" w:rsidRDefault="00AD31C3">
    <w:pPr>
      <w:pStyle w:val="a6"/>
      <w:jc w:val="center"/>
      <w:rPr>
        <w:rFonts w:cs="Times New Roman"/>
      </w:rPr>
    </w:pPr>
    <w:r>
      <w:fldChar w:fldCharType="begin"/>
    </w:r>
    <w:r>
      <w:instrText>PAGE</w:instrText>
    </w:r>
    <w:r>
      <w:fldChar w:fldCharType="separate"/>
    </w:r>
    <w:r w:rsidR="00C619FD">
      <w:rPr>
        <w:noProof/>
      </w:rPr>
      <w:t>2</w:t>
    </w:r>
    <w:r>
      <w:fldChar w:fldCharType="end"/>
    </w:r>
    <w:r>
      <w:rPr>
        <w:lang w:val="zh-CN"/>
      </w:rPr>
      <w:t xml:space="preserve"> / </w:t>
    </w:r>
    <w:r>
      <w:fldChar w:fldCharType="begin"/>
    </w:r>
    <w:r>
      <w:instrText>NUMPAGES</w:instrText>
    </w:r>
    <w:r>
      <w:fldChar w:fldCharType="separate"/>
    </w:r>
    <w:r w:rsidR="00C619F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880" w:rsidRDefault="00F64880">
      <w:r>
        <w:separator/>
      </w:r>
    </w:p>
  </w:footnote>
  <w:footnote w:type="continuationSeparator" w:id="0">
    <w:p w:rsidR="00F64880" w:rsidRDefault="00F64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0C1" w:rsidRDefault="00AD31C3">
    <w:pPr>
      <w:pStyle w:val="a7"/>
      <w:jc w:val="both"/>
      <w:rPr>
        <w:rFonts w:cs="Times New Roman"/>
      </w:rPr>
    </w:pPr>
    <w:r>
      <w:rPr>
        <w:rFonts w:cs="宋体" w:hint="eastAsia"/>
      </w:rPr>
      <w:t>中山大学新华学院</w:t>
    </w:r>
    <w:r w:rsidR="00C619FD">
      <w:rPr>
        <w:rFonts w:cs="宋体" w:hint="eastAsia"/>
      </w:rPr>
      <w:t>信科系</w:t>
    </w:r>
    <w:r w:rsidR="008C1313">
      <w:rPr>
        <w:rFonts w:hint="eastAsia"/>
      </w:rPr>
      <w:t>服务器</w:t>
    </w:r>
    <w:r>
      <w:rPr>
        <w:rFonts w:cs="宋体" w:hint="eastAsia"/>
      </w:rPr>
      <w:t>采购</w:t>
    </w:r>
    <w:r>
      <w:rPr>
        <w:rFonts w:cs="宋体" w:hint="eastAsia"/>
      </w:rPr>
      <w:t xml:space="preserve">                            </w:t>
    </w:r>
    <w:r>
      <w:rPr>
        <w:rFonts w:cs="宋体" w:hint="eastAsia"/>
      </w:rPr>
      <w:t>项目编号：</w:t>
    </w:r>
    <w:r>
      <w:rPr>
        <w:rFonts w:cs="宋体"/>
      </w:rPr>
      <w:t>ZDXHB</w:t>
    </w:r>
    <w:r>
      <w:rPr>
        <w:rFonts w:cs="宋体" w:hint="eastAsia"/>
      </w:rPr>
      <w:t>a</w:t>
    </w:r>
    <w:r>
      <w:rPr>
        <w:rFonts w:cs="宋体"/>
      </w:rPr>
      <w:t>201</w:t>
    </w:r>
    <w:r>
      <w:rPr>
        <w:rFonts w:cs="宋体" w:hint="eastAsia"/>
      </w:rPr>
      <w:t>6</w:t>
    </w:r>
    <w:r>
      <w:rPr>
        <w:rFonts w:cs="宋体"/>
      </w:rPr>
      <w:t>0</w:t>
    </w:r>
    <w:r>
      <w:rPr>
        <w:rFonts w:cs="宋体" w:hint="eastAsia"/>
      </w:rPr>
      <w:t>2</w:t>
    </w:r>
    <w:r>
      <w:rPr>
        <w:rFonts w:cs="宋体"/>
      </w:rPr>
      <w:t>00</w:t>
    </w:r>
    <w:r w:rsidR="00C619FD">
      <w:rPr>
        <w:rFonts w:cs="宋体" w:hint="eastAsia"/>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6661E"/>
    <w:multiLevelType w:val="multilevel"/>
    <w:tmpl w:val="7AB6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63"/>
    <w:rsid w:val="00003D11"/>
    <w:rsid w:val="0000654C"/>
    <w:rsid w:val="00012DED"/>
    <w:rsid w:val="00016ECD"/>
    <w:rsid w:val="000232C3"/>
    <w:rsid w:val="000550C1"/>
    <w:rsid w:val="00071C78"/>
    <w:rsid w:val="00075A4A"/>
    <w:rsid w:val="00083D78"/>
    <w:rsid w:val="00086192"/>
    <w:rsid w:val="000B316A"/>
    <w:rsid w:val="000D3456"/>
    <w:rsid w:val="000D7E04"/>
    <w:rsid w:val="000E497A"/>
    <w:rsid w:val="000E63F5"/>
    <w:rsid w:val="000F6893"/>
    <w:rsid w:val="00116F1F"/>
    <w:rsid w:val="001172A3"/>
    <w:rsid w:val="001210B5"/>
    <w:rsid w:val="00131BC6"/>
    <w:rsid w:val="001373F9"/>
    <w:rsid w:val="00152955"/>
    <w:rsid w:val="00180970"/>
    <w:rsid w:val="0018753E"/>
    <w:rsid w:val="00193AE2"/>
    <w:rsid w:val="001B02E6"/>
    <w:rsid w:val="001D1C8E"/>
    <w:rsid w:val="001E5B5E"/>
    <w:rsid w:val="001F2EF6"/>
    <w:rsid w:val="002021A7"/>
    <w:rsid w:val="002026F8"/>
    <w:rsid w:val="00262517"/>
    <w:rsid w:val="002819A7"/>
    <w:rsid w:val="00295764"/>
    <w:rsid w:val="002C2EC7"/>
    <w:rsid w:val="002C7749"/>
    <w:rsid w:val="002D7B53"/>
    <w:rsid w:val="002F288D"/>
    <w:rsid w:val="002F37CD"/>
    <w:rsid w:val="002F5066"/>
    <w:rsid w:val="00301CC1"/>
    <w:rsid w:val="00303E9B"/>
    <w:rsid w:val="003050E7"/>
    <w:rsid w:val="003212DA"/>
    <w:rsid w:val="0033196F"/>
    <w:rsid w:val="00332853"/>
    <w:rsid w:val="00337AA9"/>
    <w:rsid w:val="00350BE0"/>
    <w:rsid w:val="00371A1D"/>
    <w:rsid w:val="00394E11"/>
    <w:rsid w:val="003A4545"/>
    <w:rsid w:val="003B577F"/>
    <w:rsid w:val="003C2D6F"/>
    <w:rsid w:val="003E046B"/>
    <w:rsid w:val="003F200F"/>
    <w:rsid w:val="00422FEA"/>
    <w:rsid w:val="00436AD8"/>
    <w:rsid w:val="00456453"/>
    <w:rsid w:val="00480911"/>
    <w:rsid w:val="004840DE"/>
    <w:rsid w:val="00486D6C"/>
    <w:rsid w:val="00491713"/>
    <w:rsid w:val="00494419"/>
    <w:rsid w:val="004A4C2A"/>
    <w:rsid w:val="004C08DC"/>
    <w:rsid w:val="004D3152"/>
    <w:rsid w:val="004E794B"/>
    <w:rsid w:val="004F1CA5"/>
    <w:rsid w:val="005105D2"/>
    <w:rsid w:val="00514863"/>
    <w:rsid w:val="00517891"/>
    <w:rsid w:val="005229B6"/>
    <w:rsid w:val="005252CF"/>
    <w:rsid w:val="00531B30"/>
    <w:rsid w:val="00533897"/>
    <w:rsid w:val="005431B5"/>
    <w:rsid w:val="00560EF0"/>
    <w:rsid w:val="00566752"/>
    <w:rsid w:val="00567995"/>
    <w:rsid w:val="00593283"/>
    <w:rsid w:val="005C0B9E"/>
    <w:rsid w:val="005D013D"/>
    <w:rsid w:val="00603616"/>
    <w:rsid w:val="0061313A"/>
    <w:rsid w:val="0062582C"/>
    <w:rsid w:val="00653B0C"/>
    <w:rsid w:val="00663951"/>
    <w:rsid w:val="00680347"/>
    <w:rsid w:val="00691AD5"/>
    <w:rsid w:val="006B069E"/>
    <w:rsid w:val="006C1121"/>
    <w:rsid w:val="006C2A15"/>
    <w:rsid w:val="006E0B8D"/>
    <w:rsid w:val="006E4B16"/>
    <w:rsid w:val="00704176"/>
    <w:rsid w:val="00720352"/>
    <w:rsid w:val="007210FB"/>
    <w:rsid w:val="00723A30"/>
    <w:rsid w:val="0073136C"/>
    <w:rsid w:val="00740968"/>
    <w:rsid w:val="00753E40"/>
    <w:rsid w:val="0075603F"/>
    <w:rsid w:val="007709A0"/>
    <w:rsid w:val="00770B32"/>
    <w:rsid w:val="00787BEF"/>
    <w:rsid w:val="007B3304"/>
    <w:rsid w:val="007C2063"/>
    <w:rsid w:val="007C4972"/>
    <w:rsid w:val="007F5F58"/>
    <w:rsid w:val="00804B3B"/>
    <w:rsid w:val="00810833"/>
    <w:rsid w:val="00821070"/>
    <w:rsid w:val="00832744"/>
    <w:rsid w:val="00843A74"/>
    <w:rsid w:val="008475C5"/>
    <w:rsid w:val="008536C7"/>
    <w:rsid w:val="00856C9F"/>
    <w:rsid w:val="00857C1D"/>
    <w:rsid w:val="00892191"/>
    <w:rsid w:val="008942ED"/>
    <w:rsid w:val="008C1313"/>
    <w:rsid w:val="008E771B"/>
    <w:rsid w:val="00967F0A"/>
    <w:rsid w:val="00992B41"/>
    <w:rsid w:val="00995856"/>
    <w:rsid w:val="009C2D45"/>
    <w:rsid w:val="009C6D7C"/>
    <w:rsid w:val="00A03D1A"/>
    <w:rsid w:val="00A0737A"/>
    <w:rsid w:val="00A247E6"/>
    <w:rsid w:val="00A24A75"/>
    <w:rsid w:val="00A254AB"/>
    <w:rsid w:val="00A27F0E"/>
    <w:rsid w:val="00A431AE"/>
    <w:rsid w:val="00A719D6"/>
    <w:rsid w:val="00A90F54"/>
    <w:rsid w:val="00A92F16"/>
    <w:rsid w:val="00AB6DD4"/>
    <w:rsid w:val="00AC5309"/>
    <w:rsid w:val="00AD31C3"/>
    <w:rsid w:val="00AD7877"/>
    <w:rsid w:val="00B111DF"/>
    <w:rsid w:val="00B2172F"/>
    <w:rsid w:val="00B246A8"/>
    <w:rsid w:val="00B2524A"/>
    <w:rsid w:val="00B25DFC"/>
    <w:rsid w:val="00B51B77"/>
    <w:rsid w:val="00B51F05"/>
    <w:rsid w:val="00B8287A"/>
    <w:rsid w:val="00B85D0A"/>
    <w:rsid w:val="00BA7C67"/>
    <w:rsid w:val="00BF3286"/>
    <w:rsid w:val="00C04493"/>
    <w:rsid w:val="00C049EC"/>
    <w:rsid w:val="00C251FD"/>
    <w:rsid w:val="00C50142"/>
    <w:rsid w:val="00C619FD"/>
    <w:rsid w:val="00C957B4"/>
    <w:rsid w:val="00CC4B55"/>
    <w:rsid w:val="00CC663F"/>
    <w:rsid w:val="00D01DB5"/>
    <w:rsid w:val="00D24674"/>
    <w:rsid w:val="00D35C82"/>
    <w:rsid w:val="00D84EF9"/>
    <w:rsid w:val="00D904DC"/>
    <w:rsid w:val="00DA38C1"/>
    <w:rsid w:val="00DB38C8"/>
    <w:rsid w:val="00DC0E29"/>
    <w:rsid w:val="00DC72CE"/>
    <w:rsid w:val="00DF045A"/>
    <w:rsid w:val="00E32786"/>
    <w:rsid w:val="00E359A0"/>
    <w:rsid w:val="00E43021"/>
    <w:rsid w:val="00E802AB"/>
    <w:rsid w:val="00E91297"/>
    <w:rsid w:val="00F228F0"/>
    <w:rsid w:val="00F36610"/>
    <w:rsid w:val="00F42232"/>
    <w:rsid w:val="00F50AB5"/>
    <w:rsid w:val="00F6016C"/>
    <w:rsid w:val="00F64880"/>
    <w:rsid w:val="00F67679"/>
    <w:rsid w:val="00F71254"/>
    <w:rsid w:val="00FC039C"/>
    <w:rsid w:val="00FC58C0"/>
    <w:rsid w:val="00FD0715"/>
    <w:rsid w:val="00FD77A4"/>
    <w:rsid w:val="00FE290F"/>
    <w:rsid w:val="204C205D"/>
    <w:rsid w:val="39B934FE"/>
    <w:rsid w:val="3B103714"/>
    <w:rsid w:val="4304289F"/>
    <w:rsid w:val="75426E0E"/>
    <w:rsid w:val="78E63CA7"/>
    <w:rsid w:val="7F7A0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unhideWhenUsed="0"/>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semiHidden="0"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semiHidden="0" w:uiPriority="99"/>
    <w:lsdException w:name="annotation subject" w:uiPriority="99" w:unhideWhenUsed="0"/>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lsdException w:name="Table Grid" w:locked="1" w:semiHidden="0" w:uiPriority="3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pPr>
      <w:jc w:val="left"/>
    </w:pPr>
  </w:style>
  <w:style w:type="paragraph" w:styleId="a5">
    <w:name w:val="Balloon Text"/>
    <w:basedOn w:val="a"/>
    <w:link w:val="Char1"/>
    <w:uiPriority w:val="99"/>
    <w:semiHidden/>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semiHidden/>
    <w:qFormat/>
    <w:rPr>
      <w:sz w:val="21"/>
      <w:szCs w:val="21"/>
    </w:rPr>
  </w:style>
  <w:style w:type="table" w:styleId="a9">
    <w:name w:val="Table Grid"/>
    <w:basedOn w:val="a1"/>
    <w:uiPriority w:val="3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1">
    <w:name w:val="批注框文本 Char"/>
    <w:link w:val="a5"/>
    <w:uiPriority w:val="99"/>
    <w:semiHidden/>
    <w:qFormat/>
    <w:locked/>
    <w:rPr>
      <w:sz w:val="16"/>
      <w:szCs w:val="16"/>
    </w:rPr>
  </w:style>
  <w:style w:type="character" w:customStyle="1" w:styleId="Char2">
    <w:name w:val="页脚 Char"/>
    <w:link w:val="a6"/>
    <w:uiPriority w:val="99"/>
    <w:qFormat/>
    <w:locked/>
    <w:rPr>
      <w:sz w:val="18"/>
      <w:szCs w:val="18"/>
    </w:rPr>
  </w:style>
  <w:style w:type="character" w:customStyle="1" w:styleId="Char3">
    <w:name w:val="页眉 Char"/>
    <w:link w:val="a7"/>
    <w:uiPriority w:val="99"/>
    <w:qFormat/>
    <w:locked/>
    <w:rPr>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qFormat/>
    <w:pPr>
      <w:widowControl/>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unhideWhenUsed="0"/>
    <w:lsdException w:name="header" w:semiHidden="0" w:uiPriority="99" w:unhideWhenUsed="0" w:qFormat="1"/>
    <w:lsdException w:name="footer" w:semiHidden="0" w:uiPriority="99" w:unhideWhenUsed="0" w:qFormat="1"/>
    <w:lsdException w:name="caption" w:locked="1" w:uiPriority="35" w:qFormat="1"/>
    <w:lsdException w:name="annotation reference" w:uiPriority="99" w:unhideWhenUsed="0"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semiHidden="0"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Table" w:semiHidden="0" w:uiPriority="99"/>
    <w:lsdException w:name="annotation subject" w:uiPriority="99" w:unhideWhenUsed="0"/>
    <w:lsdException w:name="No List" w:uiPriority="99"/>
    <w:lsdException w:name="Outline List 1" w:uiPriority="99"/>
    <w:lsdException w:name="Outline List 2" w:uiPriority="99"/>
    <w:lsdException w:name="Outline List 3"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uiPriority="99" w:unhideWhenUsed="0"/>
    <w:lsdException w:name="Table Grid" w:locked="1" w:semiHidden="0" w:uiPriority="39" w:unhideWhenUsed="0" w:qFormat="1"/>
    <w:lsdException w:name="Table Theme" w:locked="1"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pPr>
      <w:jc w:val="left"/>
    </w:pPr>
  </w:style>
  <w:style w:type="paragraph" w:styleId="a5">
    <w:name w:val="Balloon Text"/>
    <w:basedOn w:val="a"/>
    <w:link w:val="Char1"/>
    <w:uiPriority w:val="99"/>
    <w:semiHidden/>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character" w:styleId="a8">
    <w:name w:val="annotation reference"/>
    <w:uiPriority w:val="99"/>
    <w:semiHidden/>
    <w:qFormat/>
    <w:rPr>
      <w:sz w:val="21"/>
      <w:szCs w:val="21"/>
    </w:rPr>
  </w:style>
  <w:style w:type="table" w:styleId="a9">
    <w:name w:val="Table Grid"/>
    <w:basedOn w:val="a1"/>
    <w:uiPriority w:val="39"/>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1">
    <w:name w:val="批注框文本 Char"/>
    <w:link w:val="a5"/>
    <w:uiPriority w:val="99"/>
    <w:semiHidden/>
    <w:qFormat/>
    <w:locked/>
    <w:rPr>
      <w:sz w:val="16"/>
      <w:szCs w:val="16"/>
    </w:rPr>
  </w:style>
  <w:style w:type="character" w:customStyle="1" w:styleId="Char2">
    <w:name w:val="页脚 Char"/>
    <w:link w:val="a6"/>
    <w:uiPriority w:val="99"/>
    <w:qFormat/>
    <w:locked/>
    <w:rPr>
      <w:sz w:val="18"/>
      <w:szCs w:val="18"/>
    </w:rPr>
  </w:style>
  <w:style w:type="character" w:customStyle="1" w:styleId="Char3">
    <w:name w:val="页眉 Char"/>
    <w:link w:val="a7"/>
    <w:uiPriority w:val="99"/>
    <w:qFormat/>
    <w:locked/>
    <w:rPr>
      <w:sz w:val="18"/>
      <w:szCs w:val="18"/>
    </w:rPr>
  </w:style>
  <w:style w:type="paragraph" w:customStyle="1" w:styleId="1">
    <w:name w:val="列出段落1"/>
    <w:basedOn w:val="a"/>
    <w:uiPriority w:val="99"/>
    <w:qFormat/>
    <w:pPr>
      <w:ind w:firstLineChars="200" w:firstLine="420"/>
    </w:pPr>
  </w:style>
  <w:style w:type="paragraph" w:customStyle="1" w:styleId="p0">
    <w:name w:val="p0"/>
    <w:basedOn w:val="a"/>
    <w:uiPriority w:val="99"/>
    <w:qFormat/>
    <w:pPr>
      <w:widowControl/>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702790">
      <w:bodyDiv w:val="1"/>
      <w:marLeft w:val="0"/>
      <w:marRight w:val="0"/>
      <w:marTop w:val="0"/>
      <w:marBottom w:val="0"/>
      <w:divBdr>
        <w:top w:val="none" w:sz="0" w:space="0" w:color="auto"/>
        <w:left w:val="none" w:sz="0" w:space="0" w:color="auto"/>
        <w:bottom w:val="none" w:sz="0" w:space="0" w:color="auto"/>
        <w:right w:val="none" w:sz="0" w:space="0" w:color="auto"/>
      </w:divBdr>
      <w:divsChild>
        <w:div w:id="1451242336">
          <w:marLeft w:val="0"/>
          <w:marRight w:val="0"/>
          <w:marTop w:val="0"/>
          <w:marBottom w:val="0"/>
          <w:divBdr>
            <w:top w:val="none" w:sz="0" w:space="0" w:color="auto"/>
            <w:left w:val="none" w:sz="0" w:space="0" w:color="auto"/>
            <w:bottom w:val="none" w:sz="0" w:space="0" w:color="auto"/>
            <w:right w:val="none" w:sz="0" w:space="0" w:color="auto"/>
          </w:divBdr>
        </w:div>
        <w:div w:id="229460877">
          <w:marLeft w:val="0"/>
          <w:marRight w:val="0"/>
          <w:marTop w:val="0"/>
          <w:marBottom w:val="0"/>
          <w:divBdr>
            <w:top w:val="none" w:sz="0" w:space="0" w:color="auto"/>
            <w:left w:val="none" w:sz="0" w:space="0" w:color="auto"/>
            <w:bottom w:val="none" w:sz="0" w:space="0" w:color="auto"/>
            <w:right w:val="none" w:sz="0" w:space="0" w:color="auto"/>
          </w:divBdr>
        </w:div>
        <w:div w:id="2611860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1266</Characters>
  <Application>Microsoft Office Word</Application>
  <DocSecurity>0</DocSecurity>
  <Lines>10</Lines>
  <Paragraphs>2</Paragraphs>
  <ScaleCrop>false</ScaleCrop>
  <Company>xh</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中山大学新华学院高效液相色谱仪报价清单</dc:title>
  <dc:creator>sz</dc:creator>
  <cp:lastModifiedBy>赖少雄</cp:lastModifiedBy>
  <cp:revision>4</cp:revision>
  <cp:lastPrinted>2014-01-13T08:42:00Z</cp:lastPrinted>
  <dcterms:created xsi:type="dcterms:W3CDTF">2016-11-28T09:17:00Z</dcterms:created>
  <dcterms:modified xsi:type="dcterms:W3CDTF">2016-11-28T09:39:00Z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