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00" w:lineRule="exact"/>
        <w:rPr>
          <w:sz w:val="52"/>
          <w:szCs w:val="52"/>
        </w:rPr>
      </w:pPr>
      <w:r>
        <w:rPr>
          <w:rFonts w:hint="eastAsia"/>
          <w:b/>
          <w:bCs/>
          <w:sz w:val="52"/>
          <w:szCs w:val="52"/>
        </w:rPr>
        <w:t>中 山 大 学 新 华 学 院</w:t>
      </w:r>
    </w:p>
    <w:p>
      <w:pPr>
        <w:spacing w:after="50" w:line="600" w:lineRule="exact"/>
        <w:ind w:firstLine="402" w:firstLineChars="100"/>
        <w:jc w:val="center"/>
        <w:rPr>
          <w:rFonts w:ascii="仿宋_GB2312" w:hAnsi="宋体" w:eastAsia="仿宋_GB2312"/>
          <w:sz w:val="36"/>
        </w:rPr>
      </w:pPr>
      <w:r>
        <w:rPr>
          <w:rFonts w:hint="eastAsia" w:eastAsia="仿宋_GB2312"/>
          <w:b/>
          <w:bCs/>
          <w:sz w:val="40"/>
          <w:szCs w:val="40"/>
          <w:u w:val="single"/>
        </w:rPr>
        <w:t>东莞校区核心机房建设项目</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二〇一六年十一月二十二日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3"/>
        <w:tabs>
          <w:tab w:val="right" w:leader="dot" w:pos="9987"/>
        </w:tabs>
        <w:spacing w:line="360" w:lineRule="auto"/>
        <w:rPr>
          <w:rFonts w:asciiTheme="minorHAnsi" w:hAnsiTheme="minorHAnsi" w:eastAsiaTheme="minorEastAsia" w:cstheme="minorBid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"_Toc468270230" </w:instrText>
      </w:r>
      <w:r>
        <w:fldChar w:fldCharType="separate"/>
      </w:r>
      <w:r>
        <w:rPr>
          <w:rStyle w:val="20"/>
          <w:rFonts w:hint="eastAsia" w:ascii="黑体" w:hAnsi="黑体" w:eastAsia="黑体"/>
          <w:sz w:val="24"/>
        </w:rPr>
        <w:t>第一部分</w:t>
      </w:r>
      <w:r>
        <w:rPr>
          <w:rStyle w:val="20"/>
          <w:rFonts w:ascii="黑体" w:hAnsi="黑体" w:eastAsia="黑体"/>
          <w:sz w:val="24"/>
        </w:rPr>
        <w:t xml:space="preserve"> </w:t>
      </w:r>
      <w:r>
        <w:rPr>
          <w:rStyle w:val="20"/>
          <w:rFonts w:hint="eastAsia" w:ascii="黑体" w:hAnsi="黑体" w:eastAsia="黑体"/>
          <w:sz w:val="24"/>
        </w:rPr>
        <w:t>投标邀请书</w:t>
      </w:r>
      <w:r>
        <w:rPr>
          <w:sz w:val="24"/>
        </w:rPr>
        <w:tab/>
      </w:r>
      <w:r>
        <w:rPr>
          <w:sz w:val="24"/>
        </w:rPr>
        <w:fldChar w:fldCharType="begin"/>
      </w:r>
      <w:r>
        <w:rPr>
          <w:sz w:val="24"/>
        </w:rPr>
        <w:instrText xml:space="preserve"> PAGEREF _Toc468270230 \h </w:instrText>
      </w:r>
      <w:r>
        <w:rPr>
          <w:sz w:val="24"/>
        </w:rPr>
        <w:fldChar w:fldCharType="separate"/>
      </w:r>
      <w:r>
        <w:rPr>
          <w:sz w:val="24"/>
        </w:rPr>
        <w:t>2</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"_Toc468270231" </w:instrText>
      </w:r>
      <w:r>
        <w:fldChar w:fldCharType="separate"/>
      </w:r>
      <w:r>
        <w:rPr>
          <w:rStyle w:val="20"/>
          <w:rFonts w:hint="eastAsia" w:ascii="仿宋_GB2312" w:hAnsi="仿宋_GB2312" w:eastAsia="仿宋_GB2312"/>
          <w:sz w:val="24"/>
        </w:rPr>
        <w:t>一、招标项目</w:t>
      </w:r>
      <w:r>
        <w:rPr>
          <w:sz w:val="24"/>
        </w:rPr>
        <w:tab/>
      </w:r>
      <w:r>
        <w:rPr>
          <w:sz w:val="24"/>
        </w:rPr>
        <w:fldChar w:fldCharType="begin"/>
      </w:r>
      <w:r>
        <w:rPr>
          <w:sz w:val="24"/>
        </w:rPr>
        <w:instrText xml:space="preserve"> PAGEREF _Toc468270231 \h </w:instrText>
      </w:r>
      <w:r>
        <w:rPr>
          <w:sz w:val="24"/>
        </w:rPr>
        <w:fldChar w:fldCharType="separate"/>
      </w:r>
      <w:r>
        <w:rPr>
          <w:sz w:val="24"/>
        </w:rPr>
        <w:t>2</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"_Toc468270232" </w:instrText>
      </w:r>
      <w:r>
        <w:fldChar w:fldCharType="separate"/>
      </w:r>
      <w:r>
        <w:rPr>
          <w:rStyle w:val="20"/>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_Toc468270232 \h </w:instrText>
      </w:r>
      <w:r>
        <w:rPr>
          <w:sz w:val="24"/>
        </w:rPr>
        <w:fldChar w:fldCharType="separate"/>
      </w:r>
      <w:r>
        <w:rPr>
          <w:sz w:val="24"/>
        </w:rPr>
        <w:t>2</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"_Toc468270233" </w:instrText>
      </w:r>
      <w:r>
        <w:fldChar w:fldCharType="separate"/>
      </w:r>
      <w:r>
        <w:rPr>
          <w:rStyle w:val="20"/>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_Toc468270233 \h </w:instrText>
      </w:r>
      <w:r>
        <w:rPr>
          <w:sz w:val="24"/>
        </w:rPr>
        <w:fldChar w:fldCharType="separate"/>
      </w:r>
      <w:r>
        <w:rPr>
          <w:sz w:val="24"/>
        </w:rPr>
        <w:t>2</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"_Toc468270234" </w:instrText>
      </w:r>
      <w:r>
        <w:fldChar w:fldCharType="separate"/>
      </w:r>
      <w:r>
        <w:rPr>
          <w:rStyle w:val="20"/>
          <w:rFonts w:hint="eastAsia" w:ascii="仿宋_GB2312" w:hAnsi="仿宋_GB2312" w:eastAsia="仿宋_GB2312"/>
          <w:sz w:val="24"/>
        </w:rPr>
        <w:t>四、联系方式</w:t>
      </w:r>
      <w:r>
        <w:rPr>
          <w:sz w:val="24"/>
        </w:rPr>
        <w:tab/>
      </w:r>
      <w:r>
        <w:rPr>
          <w:sz w:val="24"/>
        </w:rPr>
        <w:fldChar w:fldCharType="begin"/>
      </w:r>
      <w:r>
        <w:rPr>
          <w:sz w:val="24"/>
        </w:rPr>
        <w:instrText xml:space="preserve"> PAGEREF _Toc468270234 \h </w:instrText>
      </w:r>
      <w:r>
        <w:rPr>
          <w:sz w:val="24"/>
        </w:rPr>
        <w:fldChar w:fldCharType="separate"/>
      </w:r>
      <w:r>
        <w:rPr>
          <w:sz w:val="24"/>
        </w:rPr>
        <w:t>2</w:t>
      </w:r>
      <w:r>
        <w:rPr>
          <w:sz w:val="24"/>
        </w:rPr>
        <w:fldChar w:fldCharType="end"/>
      </w:r>
      <w:r>
        <w:rPr>
          <w:sz w:val="24"/>
        </w:rPr>
        <w:fldChar w:fldCharType="end"/>
      </w:r>
    </w:p>
    <w:p>
      <w:pPr>
        <w:pStyle w:val="13"/>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"_Toc468270235" </w:instrText>
      </w:r>
      <w:r>
        <w:fldChar w:fldCharType="separate"/>
      </w:r>
      <w:r>
        <w:rPr>
          <w:rStyle w:val="20"/>
          <w:rFonts w:hint="eastAsia" w:ascii="黑体" w:hAnsi="黑体" w:eastAsia="黑体" w:cs="黑体"/>
          <w:sz w:val="24"/>
        </w:rPr>
        <w:t>第二部分</w:t>
      </w:r>
      <w:r>
        <w:rPr>
          <w:rStyle w:val="20"/>
          <w:rFonts w:ascii="黑体" w:hAnsi="黑体" w:eastAsia="黑体" w:cs="黑体"/>
          <w:sz w:val="24"/>
        </w:rPr>
        <w:t xml:space="preserve"> </w:t>
      </w:r>
      <w:r>
        <w:rPr>
          <w:rStyle w:val="20"/>
          <w:rFonts w:hint="eastAsia" w:ascii="黑体" w:hAnsi="黑体" w:eastAsia="黑体" w:cs="黑体"/>
          <w:sz w:val="24"/>
        </w:rPr>
        <w:t>投标须知</w:t>
      </w:r>
      <w:r>
        <w:rPr>
          <w:sz w:val="24"/>
        </w:rPr>
        <w:tab/>
      </w:r>
      <w:r>
        <w:rPr>
          <w:sz w:val="24"/>
        </w:rPr>
        <w:fldChar w:fldCharType="begin"/>
      </w:r>
      <w:r>
        <w:rPr>
          <w:sz w:val="24"/>
        </w:rPr>
        <w:instrText xml:space="preserve"> PAGEREF _Toc468270235 \h </w:instrText>
      </w:r>
      <w:r>
        <w:rPr>
          <w:sz w:val="24"/>
        </w:rPr>
        <w:fldChar w:fldCharType="separate"/>
      </w:r>
      <w:r>
        <w:rPr>
          <w:sz w:val="24"/>
        </w:rPr>
        <w:t>3</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"_Toc468270236" </w:instrText>
      </w:r>
      <w:r>
        <w:fldChar w:fldCharType="separate"/>
      </w:r>
      <w:r>
        <w:rPr>
          <w:rStyle w:val="20"/>
          <w:rFonts w:hint="eastAsia" w:ascii="仿宋_GB2312" w:hAnsi="仿宋_GB2312" w:eastAsia="仿宋_GB2312"/>
          <w:b/>
          <w:bCs/>
          <w:sz w:val="24"/>
        </w:rPr>
        <w:t>一、概述</w:t>
      </w:r>
      <w:r>
        <w:rPr>
          <w:sz w:val="24"/>
        </w:rPr>
        <w:tab/>
      </w:r>
      <w:r>
        <w:rPr>
          <w:sz w:val="24"/>
        </w:rPr>
        <w:fldChar w:fldCharType="begin"/>
      </w:r>
      <w:r>
        <w:rPr>
          <w:sz w:val="24"/>
        </w:rPr>
        <w:instrText xml:space="preserve"> PAGEREF _Toc468270236 \h </w:instrText>
      </w:r>
      <w:r>
        <w:rPr>
          <w:sz w:val="24"/>
        </w:rPr>
        <w:fldChar w:fldCharType="separate"/>
      </w:r>
      <w:r>
        <w:rPr>
          <w:sz w:val="24"/>
        </w:rPr>
        <w:t>3</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"_Toc468270237" </w:instrText>
      </w:r>
      <w:r>
        <w:fldChar w:fldCharType="separate"/>
      </w:r>
      <w:r>
        <w:rPr>
          <w:rStyle w:val="20"/>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_Toc468270237 \h </w:instrText>
      </w:r>
      <w:r>
        <w:rPr>
          <w:sz w:val="24"/>
        </w:rPr>
        <w:fldChar w:fldCharType="separate"/>
      </w:r>
      <w:r>
        <w:rPr>
          <w:sz w:val="24"/>
        </w:rPr>
        <w:t>4</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"_Toc468270238" </w:instrText>
      </w:r>
      <w:r>
        <w:fldChar w:fldCharType="separate"/>
      </w:r>
      <w:r>
        <w:rPr>
          <w:rStyle w:val="20"/>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_Toc468270238 \h </w:instrText>
      </w:r>
      <w:r>
        <w:rPr>
          <w:sz w:val="24"/>
        </w:rPr>
        <w:fldChar w:fldCharType="separate"/>
      </w:r>
      <w:r>
        <w:rPr>
          <w:sz w:val="24"/>
        </w:rPr>
        <w:t>5</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"_Toc468270239" </w:instrText>
      </w:r>
      <w:r>
        <w:fldChar w:fldCharType="separate"/>
      </w:r>
      <w:r>
        <w:rPr>
          <w:rStyle w:val="20"/>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_Toc468270239 \h </w:instrText>
      </w:r>
      <w:r>
        <w:rPr>
          <w:sz w:val="24"/>
        </w:rPr>
        <w:fldChar w:fldCharType="separate"/>
      </w:r>
      <w:r>
        <w:rPr>
          <w:sz w:val="24"/>
        </w:rPr>
        <w:t>7</w:t>
      </w:r>
      <w:r>
        <w:rPr>
          <w:sz w:val="24"/>
        </w:rPr>
        <w:fldChar w:fldCharType="end"/>
      </w:r>
      <w:r>
        <w:rPr>
          <w:sz w:val="24"/>
        </w:rPr>
        <w:fldChar w:fldCharType="end"/>
      </w:r>
    </w:p>
    <w:p>
      <w:pPr>
        <w:pStyle w:val="13"/>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"_Toc468270240" </w:instrText>
      </w:r>
      <w:r>
        <w:fldChar w:fldCharType="separate"/>
      </w:r>
      <w:r>
        <w:rPr>
          <w:rStyle w:val="20"/>
          <w:rFonts w:hint="eastAsia" w:ascii="黑体" w:hAnsi="黑体" w:eastAsia="黑体" w:cs="黑体"/>
          <w:sz w:val="24"/>
        </w:rPr>
        <w:t>第三部分</w:t>
      </w:r>
      <w:r>
        <w:rPr>
          <w:rStyle w:val="20"/>
          <w:rFonts w:ascii="黑体" w:hAnsi="黑体" w:eastAsia="黑体" w:cs="黑体"/>
          <w:sz w:val="24"/>
        </w:rPr>
        <w:t xml:space="preserve"> </w:t>
      </w:r>
      <w:r>
        <w:rPr>
          <w:rStyle w:val="20"/>
          <w:rFonts w:hint="eastAsia" w:ascii="黑体" w:hAnsi="黑体" w:eastAsia="黑体" w:cs="黑体"/>
          <w:sz w:val="24"/>
        </w:rPr>
        <w:t>招标项目清单及技术参数要求</w:t>
      </w:r>
      <w:r>
        <w:rPr>
          <w:sz w:val="24"/>
        </w:rPr>
        <w:tab/>
      </w:r>
      <w:r>
        <w:rPr>
          <w:sz w:val="24"/>
        </w:rPr>
        <w:fldChar w:fldCharType="begin"/>
      </w:r>
      <w:r>
        <w:rPr>
          <w:sz w:val="24"/>
        </w:rPr>
        <w:instrText xml:space="preserve"> PAGEREF _Toc468270240 \h </w:instrText>
      </w:r>
      <w:r>
        <w:rPr>
          <w:sz w:val="24"/>
        </w:rPr>
        <w:fldChar w:fldCharType="separate"/>
      </w:r>
      <w:r>
        <w:rPr>
          <w:sz w:val="24"/>
        </w:rPr>
        <w:t>10</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"_Toc468270241" </w:instrText>
      </w:r>
      <w:r>
        <w:fldChar w:fldCharType="separate"/>
      </w:r>
      <w:r>
        <w:rPr>
          <w:rStyle w:val="20"/>
          <w:rFonts w:hint="eastAsia" w:ascii="仿宋" w:hAnsi="仿宋" w:eastAsia="仿宋" w:cs="仿宋"/>
          <w:sz w:val="24"/>
        </w:rPr>
        <w:t>一、 产品要求</w:t>
      </w:r>
      <w:r>
        <w:rPr>
          <w:sz w:val="24"/>
        </w:rPr>
        <w:tab/>
      </w:r>
      <w:r>
        <w:rPr>
          <w:sz w:val="24"/>
        </w:rPr>
        <w:fldChar w:fldCharType="begin"/>
      </w:r>
      <w:r>
        <w:rPr>
          <w:sz w:val="24"/>
        </w:rPr>
        <w:instrText xml:space="preserve"> PAGEREF _Toc468270241 \h </w:instrText>
      </w:r>
      <w:r>
        <w:rPr>
          <w:sz w:val="24"/>
        </w:rPr>
        <w:fldChar w:fldCharType="separate"/>
      </w:r>
      <w:r>
        <w:rPr>
          <w:sz w:val="24"/>
        </w:rPr>
        <w:t>15</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"_Toc468270242" </w:instrText>
      </w:r>
      <w:r>
        <w:fldChar w:fldCharType="separate"/>
      </w:r>
      <w:r>
        <w:rPr>
          <w:rStyle w:val="20"/>
          <w:rFonts w:hint="eastAsia" w:ascii="仿宋" w:hAnsi="仿宋" w:eastAsia="仿宋" w:cs="仿宋"/>
          <w:sz w:val="24"/>
        </w:rPr>
        <w:t>二、 供货及验收</w:t>
      </w:r>
      <w:r>
        <w:rPr>
          <w:sz w:val="24"/>
        </w:rPr>
        <w:tab/>
      </w:r>
      <w:r>
        <w:rPr>
          <w:sz w:val="24"/>
        </w:rPr>
        <w:fldChar w:fldCharType="begin"/>
      </w:r>
      <w:r>
        <w:rPr>
          <w:sz w:val="24"/>
        </w:rPr>
        <w:instrText xml:space="preserve"> PAGEREF _Toc468270242 \h </w:instrText>
      </w:r>
      <w:r>
        <w:rPr>
          <w:sz w:val="24"/>
        </w:rPr>
        <w:fldChar w:fldCharType="separate"/>
      </w:r>
      <w:r>
        <w:rPr>
          <w:sz w:val="24"/>
        </w:rPr>
        <w:t>16</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"_Toc468270243" </w:instrText>
      </w:r>
      <w:r>
        <w:fldChar w:fldCharType="separate"/>
      </w:r>
      <w:r>
        <w:rPr>
          <w:rStyle w:val="20"/>
          <w:rFonts w:hint="eastAsia" w:ascii="仿宋" w:hAnsi="仿宋" w:eastAsia="仿宋" w:cs="仿宋"/>
          <w:sz w:val="24"/>
        </w:rPr>
        <w:t>三、 售后服务</w:t>
      </w:r>
      <w:r>
        <w:rPr>
          <w:sz w:val="24"/>
        </w:rPr>
        <w:tab/>
      </w:r>
      <w:r>
        <w:rPr>
          <w:sz w:val="24"/>
        </w:rPr>
        <w:fldChar w:fldCharType="begin"/>
      </w:r>
      <w:r>
        <w:rPr>
          <w:sz w:val="24"/>
        </w:rPr>
        <w:instrText xml:space="preserve"> PAGEREF _Toc468270243 \h </w:instrText>
      </w:r>
      <w:r>
        <w:rPr>
          <w:sz w:val="24"/>
        </w:rPr>
        <w:fldChar w:fldCharType="separate"/>
      </w:r>
      <w:r>
        <w:rPr>
          <w:sz w:val="24"/>
        </w:rPr>
        <w:t>17</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"_Toc468270244" </w:instrText>
      </w:r>
      <w:r>
        <w:fldChar w:fldCharType="separate"/>
      </w:r>
      <w:r>
        <w:rPr>
          <w:rStyle w:val="20"/>
          <w:rFonts w:hint="eastAsia" w:ascii="仿宋" w:hAnsi="仿宋" w:eastAsia="仿宋" w:cs="仿宋"/>
          <w:sz w:val="24"/>
        </w:rPr>
        <w:t>四、 付款方式</w:t>
      </w:r>
      <w:r>
        <w:rPr>
          <w:sz w:val="24"/>
        </w:rPr>
        <w:tab/>
      </w:r>
      <w:r>
        <w:rPr>
          <w:sz w:val="24"/>
        </w:rPr>
        <w:fldChar w:fldCharType="begin"/>
      </w:r>
      <w:r>
        <w:rPr>
          <w:sz w:val="24"/>
        </w:rPr>
        <w:instrText xml:space="preserve"> PAGEREF _Toc468270244 \h </w:instrText>
      </w:r>
      <w:r>
        <w:rPr>
          <w:sz w:val="24"/>
        </w:rPr>
        <w:fldChar w:fldCharType="separate"/>
      </w:r>
      <w:r>
        <w:rPr>
          <w:sz w:val="24"/>
        </w:rPr>
        <w:t>17</w:t>
      </w:r>
      <w:r>
        <w:rPr>
          <w:sz w:val="24"/>
        </w:rPr>
        <w:fldChar w:fldCharType="end"/>
      </w:r>
      <w:r>
        <w:rPr>
          <w:sz w:val="24"/>
        </w:rPr>
        <w:fldChar w:fldCharType="end"/>
      </w:r>
    </w:p>
    <w:p>
      <w:pPr>
        <w:pStyle w:val="13"/>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"_Toc468270245" </w:instrText>
      </w:r>
      <w:r>
        <w:fldChar w:fldCharType="separate"/>
      </w:r>
      <w:r>
        <w:rPr>
          <w:rStyle w:val="20"/>
          <w:rFonts w:hint="eastAsia" w:ascii="黑体" w:hAnsi="黑体" w:eastAsia="黑体" w:cs="黑体"/>
          <w:sz w:val="24"/>
        </w:rPr>
        <w:t>第五部分</w:t>
      </w:r>
      <w:r>
        <w:rPr>
          <w:rStyle w:val="20"/>
          <w:rFonts w:ascii="黑体" w:hAnsi="黑体" w:eastAsia="黑体" w:cs="黑体"/>
          <w:sz w:val="24"/>
        </w:rPr>
        <w:t xml:space="preserve"> </w:t>
      </w:r>
      <w:r>
        <w:rPr>
          <w:rStyle w:val="20"/>
          <w:rFonts w:hint="eastAsia" w:ascii="黑体" w:hAnsi="黑体" w:eastAsia="黑体" w:cs="黑体"/>
          <w:sz w:val="24"/>
        </w:rPr>
        <w:t>附件</w:t>
      </w:r>
      <w:r>
        <w:rPr>
          <w:sz w:val="24"/>
        </w:rPr>
        <w:tab/>
      </w:r>
      <w:r>
        <w:rPr>
          <w:sz w:val="24"/>
        </w:rPr>
        <w:fldChar w:fldCharType="begin"/>
      </w:r>
      <w:r>
        <w:rPr>
          <w:sz w:val="24"/>
        </w:rPr>
        <w:instrText xml:space="preserve"> PAGEREF _Toc468270245 \h </w:instrText>
      </w:r>
      <w:r>
        <w:rPr>
          <w:sz w:val="24"/>
        </w:rPr>
        <w:fldChar w:fldCharType="separate"/>
      </w:r>
      <w:r>
        <w:rPr>
          <w:sz w:val="24"/>
        </w:rPr>
        <w:t>18</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"_Toc468270246" </w:instrText>
      </w:r>
      <w:r>
        <w:fldChar w:fldCharType="separate"/>
      </w:r>
      <w:r>
        <w:rPr>
          <w:rStyle w:val="20"/>
          <w:rFonts w:hint="eastAsia" w:ascii="仿宋" w:hAnsi="仿宋" w:eastAsia="仿宋" w:cs="仿宋"/>
          <w:b/>
          <w:sz w:val="24"/>
        </w:rPr>
        <w:t>开标一览表</w:t>
      </w:r>
      <w:r>
        <w:rPr>
          <w:sz w:val="24"/>
        </w:rPr>
        <w:tab/>
      </w:r>
      <w:r>
        <w:rPr>
          <w:sz w:val="24"/>
        </w:rPr>
        <w:fldChar w:fldCharType="begin"/>
      </w:r>
      <w:r>
        <w:rPr>
          <w:sz w:val="24"/>
        </w:rPr>
        <w:instrText xml:space="preserve"> PAGEREF _Toc468270246 \h </w:instrText>
      </w:r>
      <w:r>
        <w:rPr>
          <w:sz w:val="24"/>
        </w:rPr>
        <w:fldChar w:fldCharType="separate"/>
      </w:r>
      <w:r>
        <w:rPr>
          <w:sz w:val="24"/>
        </w:rPr>
        <w:t>18</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"_Toc468270247" </w:instrText>
      </w:r>
      <w:r>
        <w:fldChar w:fldCharType="separate"/>
      </w:r>
      <w:r>
        <w:rPr>
          <w:rStyle w:val="20"/>
          <w:rFonts w:hint="eastAsia" w:ascii="仿宋" w:hAnsi="仿宋" w:eastAsia="仿宋" w:cs="仿宋"/>
          <w:b/>
          <w:sz w:val="24"/>
        </w:rPr>
        <w:t>投标函</w:t>
      </w:r>
      <w:r>
        <w:rPr>
          <w:sz w:val="24"/>
        </w:rPr>
        <w:tab/>
      </w:r>
      <w:r>
        <w:rPr>
          <w:sz w:val="24"/>
        </w:rPr>
        <w:fldChar w:fldCharType="begin"/>
      </w:r>
      <w:r>
        <w:rPr>
          <w:sz w:val="24"/>
        </w:rPr>
        <w:instrText xml:space="preserve"> PAGEREF _Toc468270247 \h </w:instrText>
      </w:r>
      <w:r>
        <w:rPr>
          <w:sz w:val="24"/>
        </w:rPr>
        <w:fldChar w:fldCharType="separate"/>
      </w:r>
      <w:r>
        <w:rPr>
          <w:sz w:val="24"/>
        </w:rPr>
        <w:t>19</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"_Toc468270248" </w:instrText>
      </w:r>
      <w:r>
        <w:fldChar w:fldCharType="separate"/>
      </w:r>
      <w:r>
        <w:rPr>
          <w:rStyle w:val="20"/>
          <w:rFonts w:hint="eastAsia" w:ascii="仿宋" w:hAnsi="仿宋" w:eastAsia="仿宋" w:cs="仿宋"/>
          <w:b/>
          <w:sz w:val="24"/>
        </w:rPr>
        <w:t>投标报价明细表</w:t>
      </w:r>
      <w:r>
        <w:rPr>
          <w:sz w:val="24"/>
        </w:rPr>
        <w:tab/>
      </w:r>
      <w:r>
        <w:rPr>
          <w:sz w:val="24"/>
        </w:rPr>
        <w:fldChar w:fldCharType="begin"/>
      </w:r>
      <w:r>
        <w:rPr>
          <w:sz w:val="24"/>
        </w:rPr>
        <w:instrText xml:space="preserve"> PAGEREF _Toc468270248 \h </w:instrText>
      </w:r>
      <w:r>
        <w:rPr>
          <w:sz w:val="24"/>
        </w:rPr>
        <w:fldChar w:fldCharType="separate"/>
      </w:r>
      <w:r>
        <w:rPr>
          <w:sz w:val="24"/>
        </w:rPr>
        <w:t>20</w:t>
      </w:r>
      <w:r>
        <w:rPr>
          <w:sz w:val="24"/>
        </w:rPr>
        <w:fldChar w:fldCharType="end"/>
      </w:r>
      <w:r>
        <w:rPr>
          <w:sz w:val="24"/>
        </w:rPr>
        <w:fldChar w:fldCharType="end"/>
      </w:r>
    </w:p>
    <w:p>
      <w:pPr>
        <w:pStyle w:val="14"/>
        <w:tabs>
          <w:tab w:val="right" w:leader="dot" w:pos="9987"/>
        </w:tabs>
        <w:spacing w:line="360" w:lineRule="auto"/>
        <w:rPr>
          <w:rFonts w:asciiTheme="minorHAnsi" w:hAnsiTheme="minorHAnsi" w:eastAsiaTheme="minorEastAsia" w:cstheme="minorBidi"/>
          <w:sz w:val="24"/>
        </w:rPr>
      </w:pPr>
      <w:r>
        <w:fldChar w:fldCharType="begin"/>
      </w:r>
      <w:r>
        <w:instrText xml:space="preserve"> HYPERLINK \l "_Toc468270249" </w:instrText>
      </w:r>
      <w:r>
        <w:fldChar w:fldCharType="separate"/>
      </w:r>
      <w:r>
        <w:rPr>
          <w:rStyle w:val="20"/>
          <w:rFonts w:hint="eastAsia" w:ascii="仿宋" w:hAnsi="仿宋" w:eastAsia="仿宋" w:cs="仿宋"/>
          <w:b/>
          <w:sz w:val="24"/>
        </w:rPr>
        <w:t>技术参数与商务条款偏离表</w:t>
      </w:r>
      <w:r>
        <w:rPr>
          <w:sz w:val="24"/>
        </w:rPr>
        <w:tab/>
      </w:r>
      <w:r>
        <w:rPr>
          <w:sz w:val="24"/>
        </w:rPr>
        <w:fldChar w:fldCharType="begin"/>
      </w:r>
      <w:r>
        <w:rPr>
          <w:sz w:val="24"/>
        </w:rPr>
        <w:instrText xml:space="preserve"> PAGEREF _Toc468270249 \h </w:instrText>
      </w:r>
      <w:r>
        <w:rPr>
          <w:sz w:val="24"/>
        </w:rPr>
        <w:fldChar w:fldCharType="separate"/>
      </w:r>
      <w:r>
        <w:rPr>
          <w:sz w:val="24"/>
        </w:rPr>
        <w:t>21</w:t>
      </w:r>
      <w:r>
        <w:rPr>
          <w:sz w:val="24"/>
        </w:rPr>
        <w:fldChar w:fldCharType="end"/>
      </w:r>
      <w:r>
        <w:rPr>
          <w:sz w:val="24"/>
        </w:rPr>
        <w:fldChar w:fldCharType="end"/>
      </w:r>
    </w:p>
    <w:p>
      <w:pPr>
        <w:spacing w:after="156" w:afterLines="50" w:line="360" w:lineRule="auto"/>
        <w:rPr>
          <w:b/>
          <w:bCs/>
          <w:sz w:val="24"/>
        </w:rPr>
      </w:pPr>
      <w:r>
        <w:rPr>
          <w:b/>
          <w:bCs/>
          <w:sz w:val="24"/>
        </w:rPr>
        <w:fldChar w:fldCharType="end"/>
      </w:r>
    </w:p>
    <w:p>
      <w:pPr>
        <w:spacing w:after="156" w:afterLines="50"/>
        <w:jc w:val="right"/>
        <w:rPr>
          <w:b/>
          <w:bCs/>
          <w:sz w:val="44"/>
          <w:szCs w:val="44"/>
        </w:rPr>
      </w:pPr>
    </w:p>
    <w:p>
      <w:pPr>
        <w:widowControl/>
        <w:jc w:val="left"/>
        <w:rPr>
          <w:rFonts w:ascii="黑体" w:hAnsi="黑体" w:eastAsia="黑体"/>
        </w:rPr>
      </w:pPr>
      <w:bookmarkStart w:id="0" w:name="_Toc1640"/>
      <w:bookmarkStart w:id="1" w:name="_Toc373485985"/>
      <w:bookmarkStart w:id="2" w:name="_Toc373486298"/>
      <w:r>
        <w:rPr>
          <w:rFonts w:ascii="黑体" w:hAnsi="黑体" w:eastAsia="黑体"/>
        </w:rPr>
        <w:br w:type="page"/>
      </w:r>
    </w:p>
    <w:p>
      <w:pPr>
        <w:jc w:val="left"/>
        <w:rPr>
          <w:rFonts w:ascii="黑体" w:hAnsi="黑体" w:eastAsia="黑体"/>
        </w:rPr>
      </w:pPr>
    </w:p>
    <w:p>
      <w:pPr>
        <w:pStyle w:val="2"/>
        <w:jc w:val="center"/>
        <w:rPr>
          <w:rFonts w:ascii="仿宋_GB2312" w:hAnsi="仿宋_GB2312" w:eastAsia="仿宋_GB2312"/>
          <w:sz w:val="28"/>
        </w:rPr>
      </w:pPr>
      <w:bookmarkStart w:id="3" w:name="_Toc468270230"/>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根据中山大学新华学院2016年关于东莞校区</w:t>
      </w:r>
      <w:r>
        <w:rPr>
          <w:rFonts w:hint="eastAsia" w:ascii="仿宋_GB2312" w:hAnsi="仿宋_GB2312" w:eastAsia="仿宋_GB2312"/>
          <w:sz w:val="28"/>
          <w:u w:val="single"/>
        </w:rPr>
        <w:t>核心机房建设项目</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468270231"/>
      <w:bookmarkStart w:id="5" w:name="_Toc373485986"/>
      <w:bookmarkStart w:id="6" w:name="_Toc373486299"/>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_GB2312" w:hAnsi="仿宋_GB2312" w:eastAsia="仿宋_GB2312"/>
          <w:sz w:val="28"/>
          <w:u w:val="single"/>
        </w:rPr>
        <w:t>东莞核心机房建设项目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5987"/>
      <w:bookmarkStart w:id="8" w:name="_Toc373486300"/>
      <w:bookmarkStart w:id="9" w:name="_Toc468270232"/>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2016年12月</w:t>
      </w:r>
      <w:r>
        <w:rPr>
          <w:rFonts w:hint="eastAsia" w:ascii="仿宋_GB2312" w:hAnsi="仿宋_GB2312" w:eastAsia="仿宋_GB2312"/>
          <w:b/>
          <w:bCs/>
          <w:sz w:val="28"/>
          <w:lang w:val="en-US" w:eastAsia="zh-CN"/>
        </w:rPr>
        <w:t>8日</w:t>
      </w:r>
      <w:bookmarkStart w:id="69" w:name="_GoBack"/>
      <w:bookmarkEnd w:id="69"/>
      <w:r>
        <w:rPr>
          <w:rFonts w:hint="eastAsia" w:ascii="仿宋_GB2312" w:hAnsi="仿宋_GB2312" w:eastAsia="仿宋_GB2312"/>
          <w:b/>
          <w:bCs/>
          <w:sz w:val="28"/>
          <w:lang w:val="en-US" w:eastAsia="zh-CN"/>
        </w:rPr>
        <w:t>1</w:t>
      </w:r>
      <w:r>
        <w:rPr>
          <w:rFonts w:hint="eastAsia" w:ascii="仿宋_GB2312" w:hAnsi="仿宋_GB2312" w:eastAsia="仿宋_GB2312"/>
          <w:b/>
          <w:bCs/>
          <w:sz w:val="28"/>
        </w:rPr>
        <w:t>6</w:t>
      </w:r>
      <w:r>
        <w:rPr>
          <w:rFonts w:hint="eastAsia" w:ascii="仿宋_GB2312" w:hAnsi="仿宋_GB2312" w:eastAsia="仿宋_GB2312"/>
          <w:b/>
          <w:bCs/>
          <w:sz w:val="28"/>
          <w:lang w:val="en-US" w:eastAsia="zh-CN"/>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5988"/>
      <w:bookmarkStart w:id="11" w:name="_Toc373486301"/>
      <w:bookmarkStart w:id="12" w:name="_Toc468270233"/>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5989"/>
      <w:bookmarkStart w:id="14" w:name="_Toc373486302"/>
      <w:bookmarkStart w:id="15" w:name="_Toc468270234"/>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486303"/>
      <w:bookmarkStart w:id="17" w:name="_Toc373485990"/>
    </w:p>
    <w:p>
      <w:pPr>
        <w:spacing w:before="312" w:beforeLines="100" w:after="312" w:afterLines="100"/>
        <w:jc w:val="center"/>
        <w:outlineLvl w:val="0"/>
        <w:rPr>
          <w:sz w:val="28"/>
          <w:szCs w:val="28"/>
        </w:rPr>
      </w:pPr>
      <w:bookmarkStart w:id="18" w:name="_Toc468270235"/>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486304"/>
      <w:bookmarkStart w:id="20" w:name="_Toc373485991"/>
      <w:bookmarkStart w:id="21" w:name="_Toc468270236"/>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hint="eastAsia" w:ascii="仿宋" w:hAnsi="仿宋" w:eastAsia="仿宋" w:cs="仿宋"/>
          <w:sz w:val="28"/>
          <w:szCs w:val="28"/>
        </w:rPr>
      </w:pPr>
      <w:r>
        <w:rPr>
          <w:rFonts w:hint="eastAsia" w:ascii="仿宋" w:hAnsi="仿宋" w:eastAsia="仿宋" w:cs="仿宋"/>
          <w:sz w:val="28"/>
          <w:szCs w:val="28"/>
        </w:rPr>
        <w:t>5. 投标人应具有500万以上注册资金，须有能力在</w:t>
      </w:r>
      <w:r>
        <w:rPr>
          <w:rFonts w:hint="eastAsia" w:ascii="仿宋" w:hAnsi="仿宋" w:eastAsia="仿宋" w:cs="仿宋"/>
          <w:sz w:val="28"/>
          <w:szCs w:val="28"/>
          <w:u w:val="single"/>
        </w:rPr>
        <w:t>东莞市</w:t>
      </w:r>
      <w:r>
        <w:rPr>
          <w:rFonts w:hint="eastAsia" w:ascii="仿宋" w:hAnsi="仿宋" w:eastAsia="仿宋" w:cs="仿宋"/>
          <w:sz w:val="28"/>
          <w:szCs w:val="28"/>
        </w:rPr>
        <w:t>提供长期的技术支持及售后服务。</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6.投标人须独立承担过50万以上的同类项目不少于三次（2014年开始算起），同时，计算机信息系统集成资质要求为三级或以上。</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7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sz w:val="28"/>
          <w:szCs w:val="28"/>
        </w:rPr>
        <w:t>投标保证金</w:t>
      </w:r>
    </w:p>
    <w:p>
      <w:pPr>
        <w:ind w:firstLine="560"/>
        <w:rPr>
          <w:rFonts w:ascii="仿宋" w:hAnsi="仿宋" w:eastAsia="仿宋" w:cs="仿宋"/>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贰万元整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如中标后不按招标文件履约并以不正当理由拒签合同，或者在签订合同时向我方提出附加条件，招标人有权不予返还其递交的投标保证金并有权追究其相关责任。</w:t>
      </w:r>
    </w:p>
    <w:p>
      <w:pPr>
        <w:ind w:left="315" w:leftChars="150"/>
        <w:rPr>
          <w:rFonts w:ascii="仿宋" w:hAnsi="仿宋" w:eastAsia="仿宋" w:cs="仿宋"/>
          <w:sz w:val="28"/>
          <w:szCs w:val="28"/>
        </w:rPr>
      </w:pPr>
      <w:r>
        <w:rPr>
          <w:rFonts w:hint="eastAsia" w:ascii="仿宋" w:hAnsi="仿宋" w:eastAsia="仿宋" w:cs="仿宋"/>
          <w:sz w:val="28"/>
          <w:szCs w:val="28"/>
        </w:rPr>
        <w:t>（四）禁止事项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6305"/>
      <w:bookmarkStart w:id="23" w:name="_Toc468270237"/>
      <w:bookmarkStart w:id="24" w:name="_Toc373485992"/>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468270238"/>
      <w:bookmarkStart w:id="26" w:name="_Toc373485993"/>
      <w:bookmarkStart w:id="27" w:name="_Toc373486306"/>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486307"/>
      <w:bookmarkStart w:id="29" w:name="_Toc373485994"/>
      <w:bookmarkStart w:id="30" w:name="_Toc468270239"/>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评标是以招标文件和投标文件为依据，按照招标文件中规定的各项条件进行综合评审，采取少数服从多数原则，以评标总得分前三名的投标人作为中标候选供应商进行商务谈判及二次报价以确定中标者。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4"/>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ind w:left="788" w:leftChars="375"/>
        <w:rPr>
          <w:rFonts w:ascii="仿宋" w:hAnsi="仿宋" w:eastAsia="仿宋" w:cs="仿宋"/>
          <w:sz w:val="28"/>
          <w:szCs w:val="28"/>
        </w:rPr>
      </w:pPr>
    </w:p>
    <w:p>
      <w:pPr>
        <w:rPr>
          <w:rFonts w:ascii="仿宋_GB2312" w:hAnsi="仿宋_GB2312" w:eastAsia="仿宋_GB2312"/>
          <w:sz w:val="28"/>
        </w:rPr>
      </w:pP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485995"/>
      <w:bookmarkStart w:id="32" w:name="_Toc373486308"/>
      <w:r>
        <w:rPr>
          <w:rFonts w:ascii="黑体" w:hAnsi="黑体" w:eastAsia="黑体" w:cs="黑体"/>
          <w:sz w:val="44"/>
          <w:szCs w:val="44"/>
        </w:rPr>
        <w:br w:type="page"/>
      </w:r>
      <w:bookmarkStart w:id="33" w:name="_Toc468270240"/>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5996"/>
      <w:bookmarkStart w:id="35" w:name="_Toc373486309"/>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rPr>
        <w:t>、或需考察现场</w:t>
      </w:r>
      <w:r>
        <w:rPr>
          <w:rFonts w:ascii="仿宋" w:hAnsi="仿宋" w:eastAsia="仿宋" w:cs="宋体"/>
          <w:color w:val="000000"/>
          <w:kern w:val="0"/>
          <w:sz w:val="24"/>
        </w:rPr>
        <w:t>，可联系</w:t>
      </w:r>
      <w:r>
        <w:rPr>
          <w:rFonts w:hint="eastAsia" w:ascii="仿宋" w:hAnsi="仿宋" w:eastAsia="仿宋" w:cs="宋体"/>
          <w:color w:val="000000"/>
          <w:kern w:val="0"/>
          <w:sz w:val="24"/>
        </w:rPr>
        <w:t>用户老师：陈润。电话：</w:t>
      </w:r>
      <w:r>
        <w:rPr>
          <w:rFonts w:hint="eastAsia" w:ascii="Verdana" w:hAnsi="Verdana" w:eastAsia="仿宋" w:cs="Verdana"/>
          <w:color w:val="000000"/>
          <w:szCs w:val="21"/>
          <w:shd w:val="clear" w:color="auto" w:fill="FFFFFF"/>
        </w:rPr>
        <w:t>18002798337</w:t>
      </w:r>
      <w:r>
        <w:rPr>
          <w:rFonts w:hint="eastAsia" w:ascii="仿宋" w:hAnsi="仿宋" w:eastAsia="仿宋" w:cs="宋体"/>
          <w:color w:val="000000"/>
          <w:kern w:val="0"/>
          <w:sz w:val="24"/>
        </w:rPr>
        <w:t>）</w:t>
      </w:r>
    </w:p>
    <w:p>
      <w:pPr>
        <w:jc w:val="left"/>
        <w:rPr>
          <w:rFonts w:ascii="仿宋" w:hAnsi="仿宋" w:eastAsia="仿宋" w:cs="宋体"/>
          <w:color w:val="000000"/>
          <w:kern w:val="0"/>
          <w:sz w:val="24"/>
        </w:rPr>
      </w:pPr>
    </w:p>
    <w:p>
      <w:pPr>
        <w:numPr>
          <w:ilvl w:val="0"/>
          <w:numId w:val="9"/>
        </w:numPr>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设备清单</w:t>
      </w:r>
    </w:p>
    <w:p>
      <w:pPr>
        <w:rPr>
          <w:rFonts w:ascii="宋体" w:hAnsi="宋体"/>
          <w:sz w:val="28"/>
          <w:szCs w:val="28"/>
        </w:rPr>
      </w:pPr>
      <w:r>
        <w:rPr>
          <w:rFonts w:hint="eastAsia" w:ascii="宋体" w:hAnsi="宋体"/>
          <w:sz w:val="28"/>
          <w:szCs w:val="28"/>
        </w:rPr>
        <w:t xml:space="preserve"> </w:t>
      </w:r>
    </w:p>
    <w:tbl>
      <w:tblPr>
        <w:tblStyle w:val="22"/>
        <w:tblW w:w="10140" w:type="dxa"/>
        <w:tblInd w:w="93" w:type="dxa"/>
        <w:tblLayout w:type="fixed"/>
        <w:tblCellMar>
          <w:top w:w="0" w:type="dxa"/>
          <w:left w:w="108" w:type="dxa"/>
          <w:bottom w:w="0" w:type="dxa"/>
          <w:right w:w="108" w:type="dxa"/>
        </w:tblCellMar>
      </w:tblPr>
      <w:tblGrid>
        <w:gridCol w:w="579"/>
        <w:gridCol w:w="2196"/>
        <w:gridCol w:w="4292"/>
        <w:gridCol w:w="580"/>
        <w:gridCol w:w="616"/>
        <w:gridCol w:w="1877"/>
      </w:tblGrid>
      <w:tr>
        <w:tblPrEx>
          <w:tblLayout w:type="fixed"/>
          <w:tblCellMar>
            <w:top w:w="0" w:type="dxa"/>
            <w:left w:w="108" w:type="dxa"/>
            <w:bottom w:w="0" w:type="dxa"/>
            <w:right w:w="108" w:type="dxa"/>
          </w:tblCellMar>
        </w:tblPrEx>
        <w:trPr>
          <w:trHeight w:val="285" w:hRule="atLeast"/>
        </w:trPr>
        <w:tc>
          <w:tcPr>
            <w:tcW w:w="10140" w:type="dxa"/>
            <w:gridSpan w:val="6"/>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机房建设（详细参数查看方案）</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名称</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规格型号</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单位</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w:t>
            </w:r>
          </w:p>
        </w:tc>
        <w:tc>
          <w:tcPr>
            <w:tcW w:w="18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铝合金微孔吸音天花</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铝合金微孔吸音天花600x600x0.8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144</w:t>
            </w:r>
          </w:p>
        </w:tc>
        <w:tc>
          <w:tcPr>
            <w:tcW w:w="18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装修工程</w:t>
            </w: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铝合金天花龙骨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铝合金天花龙骨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天花安装附件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吊杆、吊码、收边</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天花工程用辅材</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天花工程用辅材</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钢质防静电地板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600*600*35mm，全钢包边，厚公差在±0.2mm/m以内；常温常湿下地板绝缘电阻为100kΩ~100MΩ；均匀荷载在1000kg/m2以上</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防静电地板支架与横梁</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150MM防静电支架及横梁</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地脚线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100mm不锈钢</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乳胶漆</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多乐士或立邦</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平方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550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扇灰包灰底</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43</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机房隔断(玻璃)</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双层高强防火钢化玻璃 大于等于12mm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（含贴透明防爆模）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219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配电区与监控区之间隔柜</w:t>
            </w:r>
          </w:p>
        </w:tc>
        <w:tc>
          <w:tcPr>
            <w:tcW w:w="42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不锈钢柜（定制，宽120cm，深65cm，高200cm，分四层）</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办公区与设备区之间门</w:t>
            </w:r>
          </w:p>
        </w:tc>
        <w:tc>
          <w:tcPr>
            <w:tcW w:w="42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1500*2000手动推拉玻璃门（钢化玻璃）</w:t>
            </w:r>
            <w:r>
              <w:rPr>
                <w:rFonts w:hint="eastAsia" w:ascii="宋体" w:hAnsi="宋体" w:cs="宋体"/>
                <w:kern w:val="0"/>
                <w:sz w:val="20"/>
                <w:szCs w:val="20"/>
              </w:rPr>
              <w:br w:type="textWrapping"/>
            </w:r>
            <w:r>
              <w:rPr>
                <w:rFonts w:hint="eastAsia" w:ascii="宋体" w:hAnsi="宋体" w:cs="宋体"/>
                <w:kern w:val="0"/>
                <w:sz w:val="20"/>
                <w:szCs w:val="20"/>
              </w:rPr>
              <w:t>（含贴透明防爆模）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扇</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磨沙膜</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机房、办公区与仓储区隔</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57</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窗户防水</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封堵窗户和围墙</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彩钢板</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kern w:val="0"/>
                <w:sz w:val="20"/>
                <w:szCs w:val="20"/>
                <w:vertAlign w:val="superscript"/>
              </w:rPr>
              <w:t>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防鼠板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5厘绝缘胶板，铝合金10mm深度U槽</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平方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超声波驱鼠器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220V AC 50Hz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主设备进出门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1500*2200不锈钢材质并带指纹锁</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扇</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气瓶间进出门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1200*2200不锈钢材质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扇</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拆除并开门洞</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安装人工费</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10140" w:type="dxa"/>
            <w:gridSpan w:val="6"/>
            <w:tcBorders>
              <w:top w:val="single" w:color="auto" w:sz="4" w:space="0"/>
              <w:left w:val="single" w:color="auto" w:sz="4" w:space="0"/>
              <w:bottom w:val="single" w:color="auto" w:sz="4" w:space="0"/>
              <w:right w:val="single" w:color="000000" w:sz="4" w:space="0"/>
            </w:tcBorders>
            <w:shd w:val="clear" w:color="000000" w:fill="C4BD97"/>
            <w:vAlign w:val="center"/>
          </w:tcPr>
          <w:p>
            <w:pPr>
              <w:widowControl/>
              <w:jc w:val="center"/>
              <w:rPr>
                <w:rFonts w:ascii="宋体" w:hAnsi="宋体" w:cs="宋体"/>
                <w:kern w:val="0"/>
                <w:sz w:val="20"/>
                <w:szCs w:val="20"/>
              </w:rPr>
            </w:pPr>
            <w:r>
              <w:rPr>
                <w:rFonts w:hint="eastAsia" w:ascii="宋体" w:hAnsi="宋体" w:cs="宋体"/>
                <w:kern w:val="0"/>
                <w:sz w:val="20"/>
                <w:szCs w:val="20"/>
              </w:rPr>
              <w:t>装修工程合计</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总电源箱</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定制</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强电</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UPS总开关</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正泰 100A</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总开关</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正泰 100A</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机柜分开关</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正泰空气带漏电 32A</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照明开关</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正泰空气带漏电 16A</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BVV-2.5MM</w:t>
            </w:r>
            <w:r>
              <w:rPr>
                <w:rFonts w:hint="eastAsia" w:ascii="宋体" w:hAnsi="宋体" w:cs="宋体"/>
                <w:kern w:val="0"/>
                <w:sz w:val="20"/>
                <w:szCs w:val="20"/>
                <w:vertAlign w:val="superscript"/>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BVV-4MM</w:t>
            </w:r>
            <w:r>
              <w:rPr>
                <w:rFonts w:hint="eastAsia" w:ascii="宋体" w:hAnsi="宋体" w:cs="宋体"/>
                <w:kern w:val="0"/>
                <w:sz w:val="20"/>
                <w:szCs w:val="20"/>
                <w:vertAlign w:val="superscript"/>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BVV-16MM</w:t>
            </w:r>
            <w:r>
              <w:rPr>
                <w:rFonts w:hint="eastAsia" w:ascii="宋体" w:hAnsi="宋体" w:cs="宋体"/>
                <w:kern w:val="0"/>
                <w:sz w:val="20"/>
                <w:szCs w:val="20"/>
                <w:vertAlign w:val="superscript"/>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LED平板灯（含灯盘）</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600*600 36W</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PDU</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10A</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应急灯</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地板高档插座</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5孔</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金属吊杆及线槽安装吊挂件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3X30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室内直流工作地制安(紫铜带)</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双色地网引线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35MM</w:t>
            </w:r>
            <w:r>
              <w:rPr>
                <w:rFonts w:hint="eastAsia" w:ascii="宋体" w:hAnsi="宋体" w:cs="宋体"/>
                <w:kern w:val="0"/>
                <w:sz w:val="20"/>
                <w:szCs w:val="20"/>
                <w:vertAlign w:val="superscript"/>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桥架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上走线桥架（含吊架等辅材）</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10140" w:type="dxa"/>
            <w:gridSpan w:val="6"/>
            <w:tcBorders>
              <w:top w:val="single" w:color="auto" w:sz="4" w:space="0"/>
              <w:left w:val="single" w:color="auto" w:sz="4" w:space="0"/>
              <w:bottom w:val="single" w:color="auto" w:sz="4" w:space="0"/>
              <w:right w:val="single" w:color="000000" w:sz="4" w:space="0"/>
            </w:tcBorders>
            <w:shd w:val="clear" w:color="000000" w:fill="C4BD97"/>
            <w:vAlign w:val="center"/>
          </w:tcPr>
          <w:p>
            <w:pPr>
              <w:widowControl/>
              <w:jc w:val="center"/>
              <w:rPr>
                <w:rFonts w:ascii="宋体" w:hAnsi="宋体" w:cs="宋体"/>
                <w:kern w:val="0"/>
                <w:sz w:val="20"/>
                <w:szCs w:val="20"/>
              </w:rPr>
            </w:pPr>
            <w:r>
              <w:rPr>
                <w:rFonts w:hint="eastAsia" w:ascii="宋体" w:hAnsi="宋体" w:cs="宋体"/>
                <w:kern w:val="0"/>
                <w:sz w:val="20"/>
                <w:szCs w:val="20"/>
              </w:rPr>
              <w:t>强电合计</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电源二级防雷器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V2O-C/3+NPE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防雷接地</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电源三级防雷器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V10-C/3+NPE</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接地铜排</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18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地极</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8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接地线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18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环绕地极线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国标环绕地极线，25平方</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8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地极焊接</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8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辅材、安装和调试费</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10140" w:type="dxa"/>
            <w:gridSpan w:val="6"/>
            <w:tcBorders>
              <w:top w:val="single" w:color="auto" w:sz="4" w:space="0"/>
              <w:left w:val="single" w:color="auto" w:sz="4" w:space="0"/>
              <w:bottom w:val="single" w:color="auto" w:sz="4" w:space="0"/>
              <w:right w:val="single" w:color="000000" w:sz="4" w:space="0"/>
            </w:tcBorders>
            <w:shd w:val="clear" w:color="000000" w:fill="C4BD97"/>
            <w:vAlign w:val="center"/>
          </w:tcPr>
          <w:p>
            <w:pPr>
              <w:widowControl/>
              <w:jc w:val="center"/>
              <w:rPr>
                <w:rFonts w:ascii="宋体" w:hAnsi="宋体" w:cs="宋体"/>
                <w:kern w:val="0"/>
                <w:sz w:val="20"/>
                <w:szCs w:val="20"/>
              </w:rPr>
            </w:pPr>
            <w:r>
              <w:rPr>
                <w:rFonts w:hint="eastAsia" w:ascii="宋体" w:hAnsi="宋体" w:cs="宋体"/>
                <w:kern w:val="0"/>
                <w:sz w:val="20"/>
                <w:szCs w:val="20"/>
              </w:rPr>
              <w:t>防雷接地合计</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46</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模块化UPS电源主机</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40KVA三进三出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UPS</w:t>
            </w:r>
            <w:r>
              <w:rPr>
                <w:rFonts w:hint="eastAsia" w:ascii="宋体" w:hAnsi="宋体" w:cs="宋体"/>
                <w:kern w:val="0"/>
                <w:sz w:val="20"/>
                <w:szCs w:val="20"/>
              </w:rPr>
              <w:br w:type="textWrapping"/>
            </w:r>
            <w:r>
              <w:rPr>
                <w:rFonts w:hint="eastAsia" w:ascii="宋体" w:hAnsi="宋体" w:cs="宋体"/>
                <w:kern w:val="0"/>
                <w:sz w:val="20"/>
                <w:szCs w:val="20"/>
              </w:rPr>
              <w:t>品牌必须是国内（或国际）销售量排名前五。由权威机构（如IDC、赛迪等）出具证明。</w:t>
            </w: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全封闭免维护铅酸蓄电池 </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100AH  12V</w:t>
            </w:r>
            <w:r>
              <w:rPr>
                <w:rFonts w:hint="eastAsia" w:ascii="宋体" w:hAnsi="宋体" w:cs="宋体"/>
                <w:kern w:val="0"/>
                <w:sz w:val="20"/>
                <w:szCs w:val="20"/>
              </w:rPr>
              <w:br w:type="textWrapping"/>
            </w:r>
            <w:r>
              <w:rPr>
                <w:rFonts w:hint="eastAsia" w:ascii="宋体" w:hAnsi="宋体" w:cs="宋体"/>
                <w:kern w:val="0"/>
                <w:sz w:val="20"/>
                <w:szCs w:val="20"/>
              </w:rPr>
              <w:t>（详细参数遵循方案要求）</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电池架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开放式（可直视到电池）</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室外电房到机房电缆</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5×35mm</w:t>
            </w:r>
            <w:r>
              <w:rPr>
                <w:rFonts w:hint="eastAsia" w:ascii="宋体" w:hAnsi="宋体" w:cs="宋体"/>
                <w:kern w:val="0"/>
                <w:sz w:val="20"/>
                <w:szCs w:val="20"/>
                <w:vertAlign w:val="superscript"/>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电池、主机之间的连接线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35MM</w:t>
            </w:r>
            <w:r>
              <w:rPr>
                <w:rFonts w:hint="eastAsia" w:ascii="宋体" w:hAnsi="宋体" w:cs="宋体"/>
                <w:kern w:val="0"/>
                <w:sz w:val="20"/>
                <w:szCs w:val="20"/>
                <w:vertAlign w:val="superscript"/>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总配电柜到隔离变压器、列头柜之间的电缆</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4×70mm</w:t>
            </w:r>
            <w:r>
              <w:rPr>
                <w:rFonts w:hint="eastAsia" w:ascii="宋体" w:hAnsi="宋体" w:cs="宋体"/>
                <w:kern w:val="0"/>
                <w:sz w:val="20"/>
                <w:szCs w:val="20"/>
                <w:vertAlign w:val="superscript"/>
              </w:rPr>
              <w:t>2</w:t>
            </w:r>
            <w:r>
              <w:rPr>
                <w:rFonts w:hint="eastAsia" w:ascii="宋体" w:hAnsi="宋体" w:cs="宋体"/>
                <w:kern w:val="0"/>
                <w:sz w:val="20"/>
                <w:szCs w:val="20"/>
              </w:rPr>
              <w:t>+1×35mm</w:t>
            </w:r>
            <w:r>
              <w:rPr>
                <w:rFonts w:hint="eastAsia" w:ascii="宋体" w:hAnsi="宋体" w:cs="宋体"/>
                <w:kern w:val="0"/>
                <w:sz w:val="20"/>
                <w:szCs w:val="20"/>
                <w:vertAlign w:val="superscript"/>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隔离变压器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60KVA</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UPS输入输出配电柜</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模块式配电柜，配置浪涌保护器，整个配电柜具有过负荷、短路、缺相保护、防雷击功能</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UPS输入输出配电柜到UPS电缆及到列头柜电缆</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3×25mm</w:t>
            </w:r>
            <w:r>
              <w:rPr>
                <w:rFonts w:hint="eastAsia" w:ascii="宋体" w:hAnsi="宋体" w:cs="宋体"/>
                <w:kern w:val="0"/>
                <w:sz w:val="20"/>
                <w:szCs w:val="20"/>
                <w:vertAlign w:val="superscript"/>
              </w:rPr>
              <w:t>2</w:t>
            </w:r>
            <w:r>
              <w:rPr>
                <w:rFonts w:hint="eastAsia" w:ascii="宋体" w:hAnsi="宋体" w:cs="宋体"/>
                <w:kern w:val="0"/>
                <w:sz w:val="20"/>
                <w:szCs w:val="20"/>
              </w:rPr>
              <w:t>+2×16mm</w:t>
            </w:r>
            <w:r>
              <w:rPr>
                <w:rFonts w:hint="eastAsia" w:ascii="宋体" w:hAnsi="宋体" w:cs="宋体"/>
                <w:kern w:val="0"/>
                <w:sz w:val="20"/>
                <w:szCs w:val="20"/>
                <w:vertAlign w:val="superscript"/>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55</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列头柜 </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800*1200*2000mm前玻璃门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5"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56</w:t>
            </w:r>
          </w:p>
        </w:tc>
        <w:tc>
          <w:tcPr>
            <w:tcW w:w="219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列头柜到机柜的电缆</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3*4mm</w:t>
            </w:r>
            <w:r>
              <w:rPr>
                <w:rFonts w:hint="eastAsia" w:ascii="宋体" w:hAnsi="宋体" w:cs="宋体"/>
                <w:kern w:val="0"/>
                <w:sz w:val="20"/>
                <w:szCs w:val="20"/>
                <w:vertAlign w:val="superscript"/>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桥架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上走线桥架（含吊架等辅材）</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工业连接器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32A</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承重支架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辅材</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10140" w:type="dxa"/>
            <w:gridSpan w:val="6"/>
            <w:tcBorders>
              <w:top w:val="single" w:color="auto" w:sz="4" w:space="0"/>
              <w:left w:val="single" w:color="auto" w:sz="4" w:space="0"/>
              <w:bottom w:val="single" w:color="auto" w:sz="4" w:space="0"/>
              <w:right w:val="single" w:color="000000" w:sz="4" w:space="0"/>
            </w:tcBorders>
            <w:shd w:val="clear" w:color="000000" w:fill="C4BD97"/>
            <w:vAlign w:val="center"/>
          </w:tcPr>
          <w:p>
            <w:pPr>
              <w:widowControl/>
              <w:jc w:val="center"/>
              <w:rPr>
                <w:rFonts w:ascii="宋体" w:hAnsi="宋体" w:cs="宋体"/>
                <w:kern w:val="0"/>
                <w:sz w:val="20"/>
                <w:szCs w:val="20"/>
              </w:rPr>
            </w:pPr>
            <w:r>
              <w:rPr>
                <w:rFonts w:hint="eastAsia" w:ascii="宋体" w:hAnsi="宋体" w:cs="宋体"/>
                <w:kern w:val="0"/>
                <w:sz w:val="20"/>
                <w:szCs w:val="20"/>
              </w:rPr>
              <w:t>UPS合计</w:t>
            </w: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精密空调</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室内机要求制冷量和显冷量分别至少12.5kw、10.2kw，标准风量至少2800m³/h；</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空调品牌必须是国内（或国际）销售量排名前五。由权威机构（如IDC、赛迪等）出具证明。</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新风机</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风量：1200m3/h</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10140" w:type="dxa"/>
            <w:gridSpan w:val="6"/>
            <w:tcBorders>
              <w:top w:val="single" w:color="auto" w:sz="4" w:space="0"/>
              <w:left w:val="single" w:color="auto" w:sz="4" w:space="0"/>
              <w:bottom w:val="single" w:color="auto" w:sz="4" w:space="0"/>
              <w:right w:val="single" w:color="000000" w:sz="4" w:space="0"/>
            </w:tcBorders>
            <w:shd w:val="clear" w:color="000000" w:fill="C4BD97"/>
            <w:vAlign w:val="center"/>
          </w:tcPr>
          <w:p>
            <w:pPr>
              <w:widowControl/>
              <w:jc w:val="center"/>
              <w:rPr>
                <w:rFonts w:ascii="宋体" w:hAnsi="宋体" w:cs="宋体"/>
                <w:kern w:val="0"/>
                <w:sz w:val="20"/>
                <w:szCs w:val="20"/>
              </w:rPr>
            </w:pPr>
            <w:r>
              <w:rPr>
                <w:rFonts w:hint="eastAsia" w:ascii="宋体" w:hAnsi="宋体" w:cs="宋体"/>
                <w:kern w:val="0"/>
                <w:sz w:val="20"/>
                <w:szCs w:val="20"/>
              </w:rPr>
              <w:t>空调新风合计</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六类</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箱子</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网络布线</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单模光缆</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室外576芯（含人工）</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65</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ODF配线箱</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（含配线架SC接口800芯）</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66</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熔纤</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芯</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1152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理线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含标签</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桥架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上走线桥架（含吊架等辅材）</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10140" w:type="dxa"/>
            <w:gridSpan w:val="6"/>
            <w:tcBorders>
              <w:top w:val="single" w:color="auto" w:sz="4" w:space="0"/>
              <w:left w:val="single" w:color="auto" w:sz="4" w:space="0"/>
              <w:bottom w:val="single" w:color="auto" w:sz="4" w:space="0"/>
              <w:right w:val="single" w:color="000000" w:sz="4" w:space="0"/>
            </w:tcBorders>
            <w:shd w:val="clear" w:color="000000" w:fill="C4BD97"/>
            <w:vAlign w:val="center"/>
          </w:tcPr>
          <w:p>
            <w:pPr>
              <w:widowControl/>
              <w:jc w:val="center"/>
              <w:rPr>
                <w:rFonts w:ascii="宋体" w:hAnsi="宋体" w:cs="宋体"/>
                <w:kern w:val="0"/>
                <w:sz w:val="20"/>
                <w:szCs w:val="20"/>
              </w:rPr>
            </w:pPr>
            <w:r>
              <w:rPr>
                <w:rFonts w:hint="eastAsia" w:ascii="宋体" w:hAnsi="宋体" w:cs="宋体"/>
                <w:kern w:val="0"/>
                <w:sz w:val="20"/>
                <w:szCs w:val="20"/>
              </w:rPr>
              <w:t>网络布线合计</w:t>
            </w:r>
          </w:p>
        </w:tc>
      </w:tr>
      <w:tr>
        <w:tblPrEx>
          <w:tblLayout w:type="fixed"/>
          <w:tblCellMar>
            <w:top w:w="0" w:type="dxa"/>
            <w:left w:w="108" w:type="dxa"/>
            <w:bottom w:w="0" w:type="dxa"/>
            <w:right w:w="108" w:type="dxa"/>
          </w:tblCellMar>
        </w:tblPrEx>
        <w:trPr>
          <w:trHeight w:val="72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服务器机柜</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800*1200*2000前玻璃门</w:t>
            </w:r>
            <w:r>
              <w:rPr>
                <w:rFonts w:hint="eastAsia" w:ascii="宋体" w:hAnsi="宋体" w:cs="宋体"/>
                <w:kern w:val="0"/>
                <w:sz w:val="20"/>
                <w:szCs w:val="20"/>
              </w:rPr>
              <w:br w:type="textWrapping"/>
            </w:r>
            <w:r>
              <w:rPr>
                <w:rFonts w:hint="eastAsia" w:ascii="宋体" w:hAnsi="宋体" w:cs="宋体"/>
                <w:kern w:val="0"/>
                <w:sz w:val="20"/>
                <w:szCs w:val="20"/>
              </w:rPr>
              <w:t>机柜框架部份采用2.0mm的优质冷轧钢板，其它部份采用1.0mm~1.5mm的优质冷轧钢板。</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8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机柜和KVM</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KVM</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至少3个用户同时控制50台服务器及串口网络设备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10140" w:type="dxa"/>
            <w:gridSpan w:val="6"/>
            <w:tcBorders>
              <w:top w:val="single" w:color="auto" w:sz="4" w:space="0"/>
              <w:left w:val="single" w:color="auto" w:sz="4" w:space="0"/>
              <w:bottom w:val="single" w:color="auto" w:sz="4" w:space="0"/>
              <w:right w:val="single" w:color="000000" w:sz="4" w:space="0"/>
            </w:tcBorders>
            <w:shd w:val="clear" w:color="000000" w:fill="C4BD97"/>
            <w:vAlign w:val="center"/>
          </w:tcPr>
          <w:p>
            <w:pPr>
              <w:widowControl/>
              <w:jc w:val="center"/>
              <w:rPr>
                <w:rFonts w:ascii="宋体" w:hAnsi="宋体" w:cs="宋体"/>
                <w:kern w:val="0"/>
                <w:sz w:val="20"/>
                <w:szCs w:val="20"/>
              </w:rPr>
            </w:pPr>
            <w:r>
              <w:rPr>
                <w:rFonts w:hint="eastAsia" w:ascii="宋体" w:hAnsi="宋体" w:cs="宋体"/>
                <w:kern w:val="0"/>
                <w:sz w:val="20"/>
                <w:szCs w:val="20"/>
              </w:rPr>
              <w:t>机柜和KVM合计</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启动装置</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消防</w:t>
            </w:r>
            <w:r>
              <w:rPr>
                <w:rFonts w:hint="eastAsia" w:ascii="宋体" w:hAnsi="宋体" w:cs="宋体"/>
                <w:kern w:val="0"/>
                <w:sz w:val="20"/>
                <w:szCs w:val="20"/>
              </w:rPr>
              <w:br w:type="textWrapping"/>
            </w:r>
            <w:r>
              <w:rPr>
                <w:rFonts w:hint="eastAsia" w:ascii="宋体" w:hAnsi="宋体" w:cs="宋体"/>
                <w:kern w:val="0"/>
                <w:sz w:val="20"/>
                <w:szCs w:val="20"/>
              </w:rPr>
              <w:t>国内一线品牌</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FM200储瓶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瓶</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七氟丙烷灭火剂</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适用范围：可燃液体和可熔化固体的火灾； 可燃气体的火灾；可燃固体的表面火灾；电气火灾。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KG</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300</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液体单向阀</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气体单向阀</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76</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启动瓶架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储瓶瓶架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瓶组</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启动软管</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高压软管</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全淹没喷嘴</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安全阀</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压力信号器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集流管</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瓶组</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声光报警器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85</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现场紧急按钮</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86</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放气指示灯</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火灾报警灭火控制器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感烟探测器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感温探测器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无缝钢管及高压管件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金属线管难燃电线</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10140" w:type="dxa"/>
            <w:gridSpan w:val="6"/>
            <w:tcBorders>
              <w:top w:val="single" w:color="auto" w:sz="4" w:space="0"/>
              <w:left w:val="single" w:color="auto" w:sz="4" w:space="0"/>
              <w:bottom w:val="single" w:color="auto" w:sz="4" w:space="0"/>
              <w:right w:val="single" w:color="000000" w:sz="4" w:space="0"/>
            </w:tcBorders>
            <w:shd w:val="clear" w:color="000000" w:fill="C4BD97"/>
            <w:vAlign w:val="center"/>
          </w:tcPr>
          <w:p>
            <w:pPr>
              <w:widowControl/>
              <w:jc w:val="center"/>
              <w:rPr>
                <w:rFonts w:ascii="宋体" w:hAnsi="宋体" w:cs="宋体"/>
                <w:kern w:val="0"/>
                <w:sz w:val="20"/>
                <w:szCs w:val="20"/>
              </w:rPr>
            </w:pPr>
            <w:r>
              <w:rPr>
                <w:rFonts w:hint="eastAsia" w:ascii="宋体" w:hAnsi="宋体" w:cs="宋体"/>
                <w:kern w:val="0"/>
                <w:sz w:val="20"/>
                <w:szCs w:val="20"/>
              </w:rPr>
              <w:t>消防合计</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通讯转换模块</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UPS、蓄电池、空调</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8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环境监控系统（详见方案需求，参考国内外一线品牌，兼容所有机房内所需监控的设备）</w:t>
            </w: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监控平台软件接口</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含UPS、蓄电池、空调、温湿度、漏水、消防、防雷、新风机接口</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94</w:t>
            </w:r>
          </w:p>
        </w:tc>
        <w:tc>
          <w:tcPr>
            <w:tcW w:w="219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智能温湿度传感器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温湿度监测</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95</w:t>
            </w:r>
          </w:p>
        </w:tc>
        <w:tc>
          <w:tcPr>
            <w:tcW w:w="219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定位式测漏控制模块</w:t>
            </w:r>
          </w:p>
        </w:tc>
        <w:tc>
          <w:tcPr>
            <w:tcW w:w="42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漏水监测</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96</w:t>
            </w:r>
          </w:p>
        </w:tc>
        <w:tc>
          <w:tcPr>
            <w:tcW w:w="219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变压器电源</w:t>
            </w:r>
          </w:p>
        </w:tc>
        <w:tc>
          <w:tcPr>
            <w:tcW w:w="42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漏水监测</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引出线</w:t>
            </w:r>
          </w:p>
        </w:tc>
        <w:tc>
          <w:tcPr>
            <w:tcW w:w="42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漏水监测</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15米测漏感应线</w:t>
            </w:r>
          </w:p>
        </w:tc>
        <w:tc>
          <w:tcPr>
            <w:tcW w:w="42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漏水监测</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终止端</w:t>
            </w:r>
          </w:p>
        </w:tc>
        <w:tc>
          <w:tcPr>
            <w:tcW w:w="42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漏水监测</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固定胶贴</w:t>
            </w:r>
          </w:p>
        </w:tc>
        <w:tc>
          <w:tcPr>
            <w:tcW w:w="42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漏水监测</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袋</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8路隔离数字量输入模块</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防雷、新风机、消防</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继电器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消防监测</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开关量状态变送器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新风机监控</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微压差开关</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新风机监控</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105</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数字量输出模块</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新风机监控</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106</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直流12V继电器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新风机监控</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交流接触器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新风机监控</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96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监控平台软件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实现对电力供应、温度、湿度、漏水、空气含尘量等诸多环境变量，UPS、空调、新风、除尘、除湿等诸多设备运行状态变量，进行24小时实时监测与智能化调节控制等功能</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96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智能分析管理软件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实现对电力供应、温度、湿度、漏水、空气含尘量等诸多环境变量，UPS、空调、新风、除尘、除湿等诸多设备运行状态变量，进行24小时实时监测与智能化调节控制等分析</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电视机</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50寸4K屏（含落地移动支架NB AVF1500-50-1P）</w:t>
            </w:r>
            <w:r>
              <w:rPr>
                <w:rFonts w:hint="eastAsia" w:ascii="宋体" w:hAnsi="宋体" w:cs="宋体"/>
                <w:kern w:val="0"/>
                <w:sz w:val="20"/>
                <w:szCs w:val="20"/>
              </w:rPr>
              <w:br w:type="textWrapping"/>
            </w:r>
            <w:r>
              <w:rPr>
                <w:rFonts w:hint="eastAsia" w:ascii="宋体" w:hAnsi="宋体" w:cs="宋体"/>
                <w:kern w:val="0"/>
                <w:sz w:val="20"/>
                <w:szCs w:val="20"/>
              </w:rPr>
              <w:t>品牌参考索尼、三星、夏普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声光报警器</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系统配置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数字量输出模块</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系统配置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短信模块</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系统配置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告警管理软件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短信通知功能</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115</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监控平台软件</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系统配置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116</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模块箱</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辅助材料</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117</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开关电源</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辅助材料</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118</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管线、辅材</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辅助材料</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119</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摄像头</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摄像头海康DS-2CD3135F-IS（要求接入现有海康监控系统平台）</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72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120</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防盗系统</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报警系统设备对非法入侵进行报警，产生的报警信号输入报警主机，报警主机触发电话和短信通知管理员。</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121</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台式电脑</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cpu-i5（6代CPU）16G内存，显示器27寸，采用联想、惠普、戴尔品牌</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122</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电脑桌</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双人桌（含凳子）</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8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40" w:hRule="atLeast"/>
        </w:trPr>
        <w:tc>
          <w:tcPr>
            <w:tcW w:w="10140" w:type="dxa"/>
            <w:gridSpan w:val="6"/>
            <w:tcBorders>
              <w:top w:val="single" w:color="auto" w:sz="4" w:space="0"/>
              <w:left w:val="single" w:color="auto" w:sz="4" w:space="0"/>
              <w:bottom w:val="single" w:color="auto" w:sz="4" w:space="0"/>
              <w:right w:val="single" w:color="000000" w:sz="4" w:space="0"/>
            </w:tcBorders>
            <w:shd w:val="clear" w:color="000000" w:fill="C4BD97"/>
            <w:vAlign w:val="center"/>
          </w:tcPr>
          <w:p>
            <w:pPr>
              <w:widowControl/>
              <w:jc w:val="center"/>
              <w:rPr>
                <w:rFonts w:ascii="宋体" w:hAnsi="宋体" w:cs="宋体"/>
                <w:kern w:val="0"/>
                <w:sz w:val="20"/>
                <w:szCs w:val="20"/>
              </w:rPr>
            </w:pPr>
            <w:r>
              <w:rPr>
                <w:rFonts w:hint="eastAsia" w:ascii="宋体" w:hAnsi="宋体" w:cs="宋体"/>
                <w:kern w:val="0"/>
                <w:sz w:val="20"/>
                <w:szCs w:val="20"/>
              </w:rPr>
              <w:t>环境监控系统合计</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123</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设备搬迁</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旧机房设备搬至新机房（含拆卸和上架）</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搬迁</w:t>
            </w:r>
          </w:p>
        </w:tc>
      </w:tr>
      <w:tr>
        <w:tblPrEx>
          <w:tblLayout w:type="fixed"/>
          <w:tblCellMar>
            <w:top w:w="0" w:type="dxa"/>
            <w:left w:w="108" w:type="dxa"/>
            <w:bottom w:w="0" w:type="dxa"/>
            <w:right w:w="108" w:type="dxa"/>
          </w:tblCellMar>
        </w:tblPrEx>
        <w:trPr>
          <w:trHeight w:val="240" w:hRule="atLeast"/>
        </w:trPr>
        <w:tc>
          <w:tcPr>
            <w:tcW w:w="10140" w:type="dxa"/>
            <w:gridSpan w:val="6"/>
            <w:tcBorders>
              <w:top w:val="single" w:color="auto" w:sz="4" w:space="0"/>
              <w:left w:val="single" w:color="auto" w:sz="4" w:space="0"/>
              <w:bottom w:val="single" w:color="auto" w:sz="4" w:space="0"/>
              <w:right w:val="single" w:color="000000" w:sz="4" w:space="0"/>
            </w:tcBorders>
            <w:shd w:val="clear" w:color="000000" w:fill="C4BD97"/>
            <w:vAlign w:val="center"/>
          </w:tcPr>
          <w:p>
            <w:pPr>
              <w:widowControl/>
              <w:jc w:val="center"/>
              <w:rPr>
                <w:rFonts w:ascii="宋体" w:hAnsi="宋体" w:cs="宋体"/>
                <w:kern w:val="0"/>
                <w:sz w:val="20"/>
                <w:szCs w:val="20"/>
              </w:rPr>
            </w:pPr>
            <w:r>
              <w:rPr>
                <w:rFonts w:hint="eastAsia" w:ascii="宋体" w:hAnsi="宋体" w:cs="宋体"/>
                <w:kern w:val="0"/>
                <w:sz w:val="20"/>
                <w:szCs w:val="20"/>
              </w:rPr>
              <w:t>售后维护</w:t>
            </w:r>
          </w:p>
        </w:tc>
      </w:tr>
      <w:tr>
        <w:tblPrEx>
          <w:tblLayout w:type="fixed"/>
          <w:tblCellMar>
            <w:top w:w="0" w:type="dxa"/>
            <w:left w:w="108" w:type="dxa"/>
            <w:bottom w:w="0" w:type="dxa"/>
            <w:right w:w="108" w:type="dxa"/>
          </w:tblCellMar>
        </w:tblPrEx>
        <w:trPr>
          <w:trHeight w:val="240" w:hRule="atLeast"/>
        </w:trPr>
        <w:tc>
          <w:tcPr>
            <w:tcW w:w="57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124</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售后维护</w:t>
            </w:r>
          </w:p>
        </w:tc>
        <w:tc>
          <w:tcPr>
            <w:tcW w:w="42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整个机房免费质保五年</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项目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8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jc w:val="left"/>
        <w:rPr>
          <w:rFonts w:ascii="仿宋" w:hAnsi="仿宋" w:eastAsia="仿宋" w:cs="宋体"/>
          <w:color w:val="000000"/>
          <w:kern w:val="0"/>
          <w:sz w:val="28"/>
          <w:szCs w:val="28"/>
        </w:rPr>
      </w:pPr>
    </w:p>
    <w:p>
      <w:pPr>
        <w:widowControl/>
        <w:jc w:val="left"/>
        <w:rPr>
          <w:rFonts w:ascii="仿宋" w:hAnsi="仿宋" w:eastAsia="仿宋" w:cs="宋体"/>
          <w:color w:val="000000"/>
          <w:kern w:val="0"/>
          <w:sz w:val="28"/>
          <w:szCs w:val="28"/>
        </w:rPr>
      </w:pPr>
      <w:r>
        <w:rPr>
          <w:rFonts w:ascii="仿宋" w:hAnsi="仿宋" w:eastAsia="仿宋" w:cs="宋体"/>
          <w:color w:val="000000"/>
          <w:kern w:val="0"/>
          <w:sz w:val="28"/>
          <w:szCs w:val="28"/>
        </w:rPr>
        <w:br w:type="page"/>
      </w:r>
    </w:p>
    <w:p>
      <w:pPr>
        <w:jc w:val="left"/>
        <w:rPr>
          <w:rFonts w:ascii="仿宋" w:hAnsi="仿宋" w:eastAsia="仿宋" w:cs="宋体"/>
          <w:color w:val="000000"/>
          <w:kern w:val="0"/>
          <w:sz w:val="28"/>
          <w:szCs w:val="28"/>
        </w:rPr>
      </w:pPr>
    </w:p>
    <w:p>
      <w:pPr>
        <w:pStyle w:val="34"/>
        <w:ind w:left="420" w:firstLine="0" w:firstLineChars="0"/>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p>
    <w:p>
      <w:pPr>
        <w:numPr>
          <w:ilvl w:val="0"/>
          <w:numId w:val="10"/>
        </w:numPr>
        <w:tabs>
          <w:tab w:val="left" w:pos="0"/>
        </w:tabs>
        <w:ind w:firstLine="560" w:firstLineChars="200"/>
        <w:outlineLvl w:val="1"/>
        <w:rPr>
          <w:rFonts w:ascii="仿宋" w:hAnsi="仿宋" w:eastAsia="仿宋" w:cs="仿宋"/>
          <w:sz w:val="28"/>
          <w:szCs w:val="28"/>
        </w:rPr>
      </w:pPr>
      <w:bookmarkStart w:id="36" w:name="_Toc373485997"/>
      <w:bookmarkStart w:id="37" w:name="_Toc373486310"/>
      <w:bookmarkStart w:id="38" w:name="_Toc468270241"/>
      <w:r>
        <w:rPr>
          <w:rFonts w:hint="eastAsia" w:ascii="仿宋" w:hAnsi="仿宋" w:eastAsia="仿宋" w:cs="仿宋"/>
          <w:sz w:val="28"/>
          <w:szCs w:val="28"/>
        </w:rPr>
        <w:t>产品要求</w:t>
      </w:r>
      <w:bookmarkEnd w:id="36"/>
      <w:bookmarkEnd w:id="37"/>
      <w:bookmarkEnd w:id="38"/>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w:t>
      </w:r>
      <w:r>
        <w:rPr>
          <w:rFonts w:ascii="仿宋" w:hAnsi="仿宋" w:eastAsia="仿宋" w:cs="仿宋"/>
          <w:sz w:val="28"/>
          <w:szCs w:val="28"/>
        </w:rPr>
        <w:t>卖方提供</w:t>
      </w:r>
      <w:r>
        <w:rPr>
          <w:rFonts w:hint="eastAsia" w:ascii="仿宋" w:hAnsi="仿宋" w:eastAsia="仿宋" w:cs="仿宋"/>
          <w:sz w:val="28"/>
          <w:szCs w:val="28"/>
        </w:rPr>
        <w:t>产品</w:t>
      </w:r>
      <w:r>
        <w:rPr>
          <w:rFonts w:ascii="仿宋" w:hAnsi="仿宋" w:eastAsia="仿宋" w:cs="仿宋"/>
          <w:sz w:val="28"/>
          <w:szCs w:val="28"/>
        </w:rPr>
        <w:t>的安装、使用和维护的技术文件，如质量合格</w:t>
      </w:r>
      <w:r>
        <w:rPr>
          <w:rFonts w:hint="eastAsia" w:ascii="仿宋" w:hAnsi="仿宋" w:eastAsia="仿宋" w:cs="仿宋"/>
          <w:sz w:val="28"/>
          <w:szCs w:val="28"/>
        </w:rPr>
        <w:t>证</w:t>
      </w:r>
      <w:r>
        <w:rPr>
          <w:rFonts w:ascii="仿宋" w:hAnsi="仿宋" w:eastAsia="仿宋" w:cs="仿宋"/>
          <w:sz w:val="28"/>
          <w:szCs w:val="28"/>
        </w:rPr>
        <w:t>、保修服务卡、使用说明（原版正本）和维护手册</w:t>
      </w:r>
      <w:r>
        <w:rPr>
          <w:rFonts w:hint="eastAsia" w:ascii="仿宋" w:hAnsi="仿宋" w:eastAsia="仿宋" w:cs="仿宋"/>
          <w:sz w:val="28"/>
          <w:szCs w:val="28"/>
        </w:rPr>
        <w:t>，使用操作及维护等重要资料应附有详细的中文说明</w:t>
      </w:r>
      <w:r>
        <w:rPr>
          <w:rFonts w:ascii="仿宋" w:hAnsi="仿宋" w:eastAsia="仿宋" w:cs="仿宋"/>
          <w:sz w:val="28"/>
          <w:szCs w:val="28"/>
        </w:rPr>
        <w:t>。</w:t>
      </w:r>
    </w:p>
    <w:p>
      <w:pPr>
        <w:rPr>
          <w:rFonts w:ascii="仿宋" w:hAnsi="仿宋" w:eastAsia="仿宋" w:cs="仿宋"/>
          <w:sz w:val="28"/>
          <w:szCs w:val="28"/>
        </w:rPr>
      </w:pPr>
      <w:r>
        <w:rPr>
          <w:rFonts w:hint="eastAsia" w:ascii="仿宋" w:hAnsi="仿宋" w:eastAsia="仿宋" w:cs="仿宋"/>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rPr>
          <w:rFonts w:ascii="仿宋" w:hAnsi="仿宋" w:eastAsia="仿宋" w:cs="仿宋"/>
          <w:sz w:val="28"/>
          <w:szCs w:val="28"/>
        </w:rPr>
      </w:pPr>
      <w:r>
        <w:rPr>
          <w:rFonts w:hint="eastAsia" w:ascii="仿宋" w:hAnsi="仿宋" w:eastAsia="仿宋" w:cs="仿宋"/>
          <w:sz w:val="28"/>
          <w:szCs w:val="28"/>
        </w:rPr>
        <w:t xml:space="preserve">   （三）中标人须到现场勘察、量取尺寸，选用最适宜学院教学办公场所、体现庄重大方的颜色搭配。</w:t>
      </w:r>
    </w:p>
    <w:p>
      <w:pPr>
        <w:rPr>
          <w:rFonts w:ascii="仿宋" w:hAnsi="仿宋" w:eastAsia="仿宋" w:cs="仿宋"/>
          <w:sz w:val="28"/>
          <w:szCs w:val="28"/>
        </w:rPr>
      </w:pPr>
      <w:r>
        <w:rPr>
          <w:rFonts w:hint="eastAsia" w:ascii="仿宋" w:hAnsi="仿宋" w:eastAsia="仿宋" w:cs="仿宋"/>
          <w:sz w:val="28"/>
          <w:szCs w:val="28"/>
        </w:rPr>
        <w:t xml:space="preserve">   （四）所有的木质家具其主要部位必须是实木封边,不允许含有草木纤维，与其它材料覆面拼贴应严密、平整，不允许有脱胶、鼓泡，无裂纹、压痕和划痕，人造板制成的部件除内部隐蔽处外均应进行封边处理，封边应严密、平整不允许脱胶、表面有胶渍。</w:t>
      </w:r>
    </w:p>
    <w:p>
      <w:pPr>
        <w:rPr>
          <w:rFonts w:ascii="仿宋" w:hAnsi="仿宋" w:eastAsia="仿宋" w:cs="仿宋"/>
          <w:sz w:val="28"/>
          <w:szCs w:val="28"/>
        </w:rPr>
      </w:pPr>
      <w:r>
        <w:rPr>
          <w:rFonts w:hint="eastAsia" w:ascii="仿宋" w:hAnsi="仿宋" w:eastAsia="仿宋" w:cs="仿宋"/>
          <w:sz w:val="28"/>
          <w:szCs w:val="28"/>
        </w:rPr>
        <w:t xml:space="preserve">   （五）所有家具应牢固严密，倒棱、圆角、圆线应均匀一致，活动部位应保证灵活自如、无杂音。</w:t>
      </w:r>
    </w:p>
    <w:p>
      <w:pPr>
        <w:ind w:firstLine="420" w:firstLineChars="150"/>
        <w:rPr>
          <w:rFonts w:ascii="仿宋" w:hAnsi="仿宋" w:eastAsia="仿宋" w:cs="仿宋"/>
          <w:sz w:val="28"/>
          <w:szCs w:val="28"/>
        </w:rPr>
      </w:pPr>
      <w:r>
        <w:rPr>
          <w:rFonts w:hint="eastAsia" w:ascii="仿宋" w:hAnsi="仿宋" w:eastAsia="仿宋" w:cs="仿宋"/>
          <w:sz w:val="28"/>
          <w:szCs w:val="28"/>
        </w:rPr>
        <w:t>（六）所有家具的油漆应采用优质环保漆，表面光亮平滑，不允许有剥落、露底、针孔、花斑、划痕等。</w:t>
      </w:r>
    </w:p>
    <w:p>
      <w:pPr>
        <w:ind w:firstLine="420" w:firstLineChars="150"/>
        <w:rPr>
          <w:rFonts w:ascii="仿宋" w:hAnsi="仿宋" w:eastAsia="仿宋" w:cs="仿宋"/>
          <w:sz w:val="28"/>
          <w:szCs w:val="28"/>
        </w:rPr>
      </w:pPr>
      <w:r>
        <w:rPr>
          <w:rFonts w:hint="eastAsia" w:ascii="仿宋" w:hAnsi="仿宋" w:eastAsia="仿宋" w:cs="仿宋"/>
          <w:sz w:val="28"/>
          <w:szCs w:val="28"/>
        </w:rPr>
        <w:t>（七）按所附清单提供设备及材料，负责所有线管及强、弱电线的铺设，并完成所有网络信息点和强电插座的安装、调试，要求做到布局合理，布线规范，便于使用及维护方便，项目完工后提供所有网络信息点的测试数据报告。</w:t>
      </w:r>
    </w:p>
    <w:p>
      <w:pPr>
        <w:ind w:firstLine="420" w:firstLineChars="150"/>
        <w:rPr>
          <w:rFonts w:ascii="仿宋" w:hAnsi="仿宋" w:eastAsia="仿宋" w:cs="仿宋"/>
          <w:sz w:val="28"/>
          <w:szCs w:val="28"/>
        </w:rPr>
      </w:pPr>
      <w:r>
        <w:rPr>
          <w:rFonts w:hint="eastAsia" w:ascii="仿宋" w:hAnsi="仿宋" w:eastAsia="仿宋" w:cs="仿宋"/>
          <w:sz w:val="28"/>
          <w:szCs w:val="28"/>
        </w:rPr>
        <w:t>（八）在项目实施过程中，乙方须对本项目实施管理、协调和进度控制，应及时向甲方报告项目进度，在保证质量和施工进度的前提下安全文明施工且按时完工，现场达到工完料净场地清的要求。</w:t>
      </w:r>
    </w:p>
    <w:p>
      <w:pPr>
        <w:ind w:firstLine="420" w:firstLineChars="150"/>
        <w:rPr>
          <w:rFonts w:ascii="仿宋" w:hAnsi="仿宋" w:eastAsia="仿宋" w:cs="仿宋"/>
          <w:sz w:val="28"/>
          <w:szCs w:val="28"/>
        </w:rPr>
      </w:pPr>
      <w:r>
        <w:rPr>
          <w:rFonts w:hint="eastAsia" w:ascii="仿宋" w:hAnsi="仿宋" w:eastAsia="仿宋" w:cs="仿宋"/>
          <w:sz w:val="28"/>
          <w:szCs w:val="28"/>
        </w:rPr>
        <w:t>（九）项目实施期间出现工伤事故，由乙方自行负责。</w:t>
      </w:r>
    </w:p>
    <w:p>
      <w:pPr>
        <w:ind w:firstLine="420" w:firstLineChars="150"/>
        <w:rPr>
          <w:rFonts w:ascii="仿宋" w:hAnsi="仿宋" w:eastAsia="仿宋" w:cs="仿宋"/>
          <w:sz w:val="28"/>
          <w:szCs w:val="28"/>
        </w:rPr>
      </w:pPr>
      <w:r>
        <w:rPr>
          <w:rFonts w:hint="eastAsia" w:ascii="仿宋" w:hAnsi="仿宋" w:eastAsia="仿宋" w:cs="仿宋"/>
          <w:sz w:val="28"/>
          <w:szCs w:val="28"/>
        </w:rPr>
        <w:t>（十）乙方在搬迁、移动甲方设备时，不得对甲方设备、财产等造成任何破坏及损失。</w:t>
      </w:r>
    </w:p>
    <w:p>
      <w:pPr>
        <w:ind w:firstLine="420" w:firstLineChars="150"/>
        <w:rPr>
          <w:rFonts w:ascii="仿宋" w:hAnsi="仿宋" w:eastAsia="仿宋" w:cs="仿宋"/>
          <w:sz w:val="28"/>
          <w:szCs w:val="28"/>
        </w:rPr>
      </w:pPr>
      <w:r>
        <w:rPr>
          <w:rFonts w:hint="eastAsia" w:ascii="仿宋" w:hAnsi="仿宋" w:eastAsia="仿宋" w:cs="仿宋"/>
          <w:sz w:val="28"/>
          <w:szCs w:val="28"/>
        </w:rPr>
        <w:t>（十一）由于项目包含内容较多，可能出现部分细节之间有冲突，请务必及时提出，如若没有提出异议，则在发现细节冲突时以校方解释为准。在设备清单中如遇描述不清楚之处请参照方案，方案不清楚可联系校方工作人员。联系人：陈润。联系电话：18002798337。</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39" w:name="_Toc373485998"/>
      <w:bookmarkStart w:id="40" w:name="_Toc373486311"/>
      <w:bookmarkStart w:id="41" w:name="_Toc468270242"/>
      <w:r>
        <w:rPr>
          <w:rFonts w:hint="eastAsia" w:ascii="仿宋" w:hAnsi="仿宋" w:eastAsia="仿宋" w:cs="仿宋"/>
          <w:sz w:val="28"/>
          <w:szCs w:val="28"/>
        </w:rPr>
        <w:t>供货及验收</w:t>
      </w:r>
      <w:bookmarkEnd w:id="39"/>
      <w:bookmarkEnd w:id="40"/>
      <w:bookmarkEnd w:id="41"/>
    </w:p>
    <w:p>
      <w:pPr>
        <w:numPr>
          <w:ilvl w:val="0"/>
          <w:numId w:val="11"/>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1"/>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1"/>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1"/>
        </w:numPr>
        <w:rPr>
          <w:rFonts w:ascii="仿宋" w:hAnsi="仿宋" w:eastAsia="仿宋" w:cs="仿宋"/>
          <w:sz w:val="28"/>
          <w:szCs w:val="28"/>
        </w:rPr>
      </w:pPr>
      <w:r>
        <w:rPr>
          <w:rFonts w:hint="eastAsia" w:ascii="仿宋" w:hAnsi="仿宋" w:eastAsia="仿宋" w:cs="仿宋"/>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2" w:name="_Toc373486312"/>
      <w:bookmarkStart w:id="43" w:name="_Toc373485999"/>
      <w:bookmarkStart w:id="44" w:name="_Toc468270243"/>
      <w:r>
        <w:rPr>
          <w:rFonts w:hint="eastAsia" w:ascii="仿宋" w:hAnsi="仿宋" w:eastAsia="仿宋" w:cs="仿宋"/>
          <w:sz w:val="28"/>
          <w:szCs w:val="28"/>
        </w:rPr>
        <w:t>售后服务</w:t>
      </w:r>
      <w:bookmarkEnd w:id="42"/>
      <w:bookmarkEnd w:id="43"/>
      <w:bookmarkEnd w:id="44"/>
    </w:p>
    <w:p>
      <w:pPr>
        <w:numPr>
          <w:ilvl w:val="0"/>
          <w:numId w:val="12"/>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五</w:t>
      </w:r>
      <w:r>
        <w:rPr>
          <w:rFonts w:hint="eastAsia" w:ascii="仿宋" w:hAnsi="仿宋" w:eastAsia="仿宋" w:cs="仿宋"/>
          <w:sz w:val="28"/>
          <w:szCs w:val="28"/>
        </w:rPr>
        <w:t>年，包括技术支持、维护、维修等服务，卖方承担因产品问题所发生的一切费用。</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设备故障响应时间及方式：2小时内电话响应，4小时内到达现场，24小时内解决问题；故障设备（人为损坏除外）如需送厂维修的，因此产生的费用由卖方承担。</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质保期满后，根据甲方的需要，可由卖方继续提供</w:t>
      </w:r>
      <w:r>
        <w:rPr>
          <w:rStyle w:val="32"/>
          <w:rFonts w:hint="eastAsia" w:ascii="仿宋" w:hAnsi="仿宋" w:eastAsia="仿宋" w:cs="仿宋"/>
          <w:sz w:val="28"/>
          <w:szCs w:val="28"/>
        </w:rPr>
        <w:t>维修或原装零配件更换，以优惠价（与市场价格比较）提供终身维护服务</w:t>
      </w:r>
      <w:r>
        <w:rPr>
          <w:rFonts w:hint="eastAsia" w:ascii="仿宋" w:hAnsi="仿宋" w:eastAsia="仿宋" w:cs="仿宋"/>
          <w:sz w:val="28"/>
          <w:szCs w:val="28"/>
        </w:rPr>
        <w:t xml:space="preserve">。  </w:t>
      </w:r>
    </w:p>
    <w:p>
      <w:pPr>
        <w:ind w:left="420"/>
        <w:rPr>
          <w:rFonts w:ascii="仿宋" w:hAnsi="仿宋" w:eastAsia="仿宋" w:cs="仿宋"/>
          <w:sz w:val="28"/>
          <w:szCs w:val="28"/>
        </w:rPr>
      </w:pPr>
    </w:p>
    <w:p>
      <w:pPr>
        <w:numPr>
          <w:ilvl w:val="0"/>
          <w:numId w:val="10"/>
        </w:numPr>
        <w:tabs>
          <w:tab w:val="left" w:pos="0"/>
        </w:tabs>
        <w:ind w:firstLine="560" w:firstLineChars="200"/>
        <w:outlineLvl w:val="1"/>
        <w:rPr>
          <w:rFonts w:ascii="仿宋" w:hAnsi="仿宋" w:eastAsia="仿宋" w:cs="仿宋"/>
          <w:sz w:val="28"/>
          <w:szCs w:val="28"/>
        </w:rPr>
      </w:pPr>
      <w:bookmarkStart w:id="45" w:name="_Toc373486000"/>
      <w:bookmarkStart w:id="46" w:name="_Toc373486313"/>
      <w:bookmarkStart w:id="47" w:name="_Toc468270244"/>
      <w:r>
        <w:rPr>
          <w:rFonts w:hint="eastAsia" w:ascii="仿宋" w:hAnsi="仿宋" w:eastAsia="仿宋" w:cs="仿宋"/>
          <w:sz w:val="28"/>
          <w:szCs w:val="28"/>
        </w:rPr>
        <w:t>付款方式</w:t>
      </w:r>
      <w:bookmarkEnd w:id="45"/>
      <w:bookmarkEnd w:id="46"/>
      <w:bookmarkEnd w:id="47"/>
    </w:p>
    <w:p>
      <w:pPr>
        <w:numPr>
          <w:ilvl w:val="0"/>
          <w:numId w:val="13"/>
        </w:numPr>
        <w:rPr>
          <w:rFonts w:ascii="仿宋" w:hAnsi="仿宋" w:eastAsia="仿宋" w:cs="仿宋"/>
          <w:sz w:val="28"/>
          <w:szCs w:val="28"/>
        </w:rPr>
      </w:pPr>
      <w:bookmarkStart w:id="48" w:name="_Toc24005"/>
      <w:bookmarkStart w:id="49" w:name="_Toc22196"/>
      <w:bookmarkStart w:id="50" w:name="_Toc16266"/>
      <w:r>
        <w:rPr>
          <w:rFonts w:hint="eastAsia" w:ascii="仿宋" w:hAnsi="仿宋" w:eastAsia="仿宋" w:cs="仿宋"/>
          <w:sz w:val="28"/>
          <w:szCs w:val="28"/>
        </w:rPr>
        <w:t>合同签定之日起7个工作日内，买方预付合同总价20%作为定金；验收合格后，15个工作日内支付合同总价7</w:t>
      </w:r>
      <w:r>
        <w:rPr>
          <w:rFonts w:ascii="仿宋" w:hAnsi="仿宋" w:eastAsia="仿宋" w:cs="仿宋"/>
          <w:sz w:val="28"/>
          <w:szCs w:val="28"/>
        </w:rPr>
        <w:t>5</w:t>
      </w:r>
      <w:r>
        <w:rPr>
          <w:rFonts w:hint="eastAsia" w:ascii="仿宋" w:hAnsi="仿宋" w:eastAsia="仿宋" w:cs="仿宋"/>
          <w:sz w:val="28"/>
          <w:szCs w:val="28"/>
        </w:rPr>
        <w:t>%；合同总价5%作为质保金,1年内无质量及服务问题的，7个工作日内支付余款。</w:t>
      </w:r>
      <w:bookmarkEnd w:id="48"/>
      <w:bookmarkEnd w:id="49"/>
      <w:bookmarkEnd w:id="50"/>
    </w:p>
    <w:p>
      <w:pPr>
        <w:numPr>
          <w:ilvl w:val="0"/>
          <w:numId w:val="13"/>
        </w:numPr>
        <w:ind w:firstLineChars="150"/>
        <w:rPr>
          <w:rFonts w:ascii="仿宋" w:hAnsi="仿宋" w:eastAsia="仿宋" w:cs="仿宋"/>
          <w:sz w:val="28"/>
          <w:szCs w:val="28"/>
        </w:rPr>
      </w:pPr>
      <w:bookmarkStart w:id="51" w:name="_Toc22795"/>
      <w:r>
        <w:rPr>
          <w:rFonts w:hint="eastAsia" w:ascii="仿宋" w:hAnsi="仿宋" w:eastAsia="仿宋" w:cs="仿宋"/>
          <w:sz w:val="28"/>
          <w:szCs w:val="28"/>
        </w:rPr>
        <w:t>支付以上款项前，卖方必须按付款金额向买方提供等额正规发票，否则甲方有权拒绝付款。</w:t>
      </w:r>
      <w:bookmarkEnd w:id="51"/>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2" w:name="_Toc373486314"/>
      <w:bookmarkStart w:id="53" w:name="_Toc373486001"/>
    </w:p>
    <w:p>
      <w:pPr>
        <w:jc w:val="center"/>
        <w:outlineLvl w:val="0"/>
        <w:rPr>
          <w:rFonts w:ascii="黑体" w:hAnsi="黑体" w:eastAsia="黑体" w:cs="黑体"/>
          <w:sz w:val="44"/>
          <w:szCs w:val="44"/>
        </w:rPr>
      </w:pPr>
      <w:r>
        <w:rPr>
          <w:rFonts w:ascii="黑体" w:hAnsi="黑体" w:eastAsia="黑体" w:cs="黑体"/>
          <w:sz w:val="44"/>
          <w:szCs w:val="44"/>
        </w:rPr>
        <w:br w:type="page"/>
      </w:r>
      <w:bookmarkStart w:id="54" w:name="_Toc468270245"/>
      <w:r>
        <w:rPr>
          <w:rFonts w:hint="eastAsia" w:ascii="黑体" w:hAnsi="黑体" w:eastAsia="黑体" w:cs="黑体"/>
          <w:sz w:val="44"/>
          <w:szCs w:val="44"/>
        </w:rPr>
        <w:t>第五部分 附件</w:t>
      </w:r>
      <w:bookmarkEnd w:id="52"/>
      <w:bookmarkEnd w:id="53"/>
      <w:bookmarkEnd w:id="54"/>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5" w:name="_Toc373486002"/>
      <w:bookmarkStart w:id="56" w:name="_Toc373486315"/>
      <w:bookmarkStart w:id="57" w:name="_Toc468270246"/>
      <w:r>
        <w:rPr>
          <w:rFonts w:hint="eastAsia" w:ascii="仿宋" w:hAnsi="仿宋" w:eastAsia="仿宋" w:cs="仿宋"/>
          <w:b/>
          <w:sz w:val="36"/>
          <w:szCs w:val="36"/>
        </w:rPr>
        <w:t>开标一览表</w:t>
      </w:r>
      <w:bookmarkEnd w:id="55"/>
      <w:bookmarkEnd w:id="56"/>
      <w:bookmarkEnd w:id="57"/>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2"/>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9"/>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9"/>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58" w:name="_Toc373486316"/>
      <w:bookmarkStart w:id="59" w:name="_Toc373486003"/>
      <w:bookmarkStart w:id="60" w:name="_Toc468270247"/>
      <w:r>
        <w:rPr>
          <w:rFonts w:hint="eastAsia" w:ascii="仿宋" w:hAnsi="仿宋" w:eastAsia="仿宋" w:cs="仿宋"/>
          <w:b/>
          <w:sz w:val="36"/>
          <w:szCs w:val="36"/>
        </w:rPr>
        <w:t>投标函</w:t>
      </w:r>
      <w:bookmarkEnd w:id="58"/>
      <w:bookmarkEnd w:id="59"/>
      <w:bookmarkEnd w:id="60"/>
    </w:p>
    <w:p>
      <w:pPr>
        <w:pStyle w:val="9"/>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9"/>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9"/>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9"/>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9"/>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9"/>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9"/>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9"/>
        <w:spacing w:line="440" w:lineRule="exact"/>
        <w:ind w:firstLine="480" w:firstLineChars="200"/>
        <w:rPr>
          <w:rFonts w:ascii="仿宋" w:hAnsi="仿宋" w:eastAsia="仿宋" w:cs="仿宋"/>
          <w:sz w:val="24"/>
        </w:rPr>
      </w:pPr>
    </w:p>
    <w:p>
      <w:pPr>
        <w:pStyle w:val="9"/>
        <w:spacing w:line="440" w:lineRule="exact"/>
        <w:ind w:firstLine="480" w:firstLineChars="200"/>
        <w:rPr>
          <w:rFonts w:ascii="仿宋" w:hAnsi="仿宋" w:eastAsia="仿宋" w:cs="仿宋"/>
          <w:sz w:val="24"/>
        </w:rPr>
      </w:pPr>
    </w:p>
    <w:p>
      <w:pPr>
        <w:pStyle w:val="9"/>
        <w:spacing w:line="440" w:lineRule="exact"/>
        <w:ind w:firstLine="480" w:firstLineChars="200"/>
        <w:rPr>
          <w:rFonts w:ascii="仿宋" w:hAnsi="仿宋" w:eastAsia="仿宋" w:cs="仿宋"/>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1" w:name="_Toc15639"/>
      <w:r>
        <w:rPr>
          <w:rFonts w:ascii="仿宋" w:hAnsi="仿宋" w:eastAsia="仿宋" w:cs="仿宋"/>
          <w:sz w:val="24"/>
        </w:rPr>
        <w:br w:type="page"/>
      </w:r>
      <w:r>
        <w:rPr>
          <w:rFonts w:hint="eastAsia" w:ascii="仿宋" w:hAnsi="仿宋" w:eastAsia="仿宋" w:cs="仿宋"/>
          <w:sz w:val="24"/>
        </w:rPr>
        <w:t>附件三：</w:t>
      </w:r>
      <w:bookmarkEnd w:id="61"/>
    </w:p>
    <w:p>
      <w:pPr>
        <w:jc w:val="center"/>
        <w:outlineLvl w:val="1"/>
        <w:rPr>
          <w:rFonts w:ascii="仿宋" w:hAnsi="仿宋" w:eastAsia="仿宋" w:cs="仿宋"/>
          <w:b/>
          <w:sz w:val="36"/>
          <w:szCs w:val="36"/>
        </w:rPr>
      </w:pPr>
      <w:bookmarkStart w:id="62" w:name="_Toc7214"/>
      <w:bookmarkStart w:id="63" w:name="_Toc373486004"/>
      <w:bookmarkStart w:id="64" w:name="_Toc373486317"/>
      <w:bookmarkStart w:id="65" w:name="_Toc468270248"/>
      <w:r>
        <w:rPr>
          <w:rFonts w:hint="eastAsia" w:ascii="仿宋" w:hAnsi="仿宋" w:eastAsia="仿宋" w:cs="仿宋"/>
          <w:b/>
          <w:sz w:val="36"/>
          <w:szCs w:val="36"/>
        </w:rPr>
        <w:t>投标报价明细表</w:t>
      </w:r>
      <w:bookmarkEnd w:id="62"/>
      <w:bookmarkEnd w:id="63"/>
      <w:bookmarkEnd w:id="64"/>
      <w:bookmarkEnd w:id="65"/>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2"/>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6" w:name="_Toc373486005"/>
      <w:bookmarkStart w:id="67" w:name="_Toc373486318"/>
      <w:bookmarkStart w:id="68" w:name="_Toc468270249"/>
      <w:r>
        <w:rPr>
          <w:rFonts w:hint="eastAsia" w:ascii="仿宋" w:hAnsi="仿宋" w:eastAsia="仿宋" w:cs="仿宋"/>
          <w:b/>
          <w:sz w:val="36"/>
          <w:szCs w:val="36"/>
        </w:rPr>
        <w:t>技术参数与商务条款偏离表</w:t>
      </w:r>
      <w:bookmarkEnd w:id="66"/>
      <w:bookmarkEnd w:id="67"/>
      <w:bookmarkEnd w:id="68"/>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2"/>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9"/>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9"/>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991" w:bottom="1276" w:left="918"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1页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1页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中山大学新华学院2016年东莞核心机房建设</w:t>
    </w:r>
    <w:r>
      <w:t>招标</w:t>
    </w:r>
    <w:r>
      <w:rPr>
        <w:rFonts w:hint="eastAsia"/>
      </w:rPr>
      <w:t xml:space="preserve">                                        项目编号：</w:t>
    </w:r>
    <w:r>
      <w:t>ZDXH</w:t>
    </w:r>
    <w:r>
      <w:rPr>
        <w:rFonts w:hint="eastAsia"/>
      </w:rPr>
      <w:t>A</w:t>
    </w:r>
    <w:r>
      <w:t>a201</w:t>
    </w:r>
    <w:r>
      <w:rPr>
        <w:rFonts w:hint="eastAsia"/>
      </w:rPr>
      <w:t>6</w:t>
    </w:r>
    <w:r>
      <w:t>0</w:t>
    </w:r>
    <w:r>
      <w:rPr>
        <w:rFonts w:hint="eastAsia"/>
      </w:rPr>
      <w:t>2</w:t>
    </w:r>
    <w:r>
      <w:t>0</w:t>
    </w:r>
    <w:r>
      <w:rPr>
        <w:rFonts w:hint="eastAsia"/>
      </w:rPr>
      <w:t>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中山大学新华学院2016年东莞核心机房建设</w:t>
    </w:r>
    <w:r>
      <w:t>招标</w:t>
    </w:r>
    <w:r>
      <w:rPr>
        <w:rFonts w:hint="eastAsia"/>
      </w:rPr>
      <w:t xml:space="preserve">                                         项目编号：</w:t>
    </w:r>
    <w:r>
      <w:t>ZDXH</w:t>
    </w:r>
    <w:r>
      <w:rPr>
        <w:rFonts w:hint="eastAsia"/>
      </w:rPr>
      <w:t>A</w:t>
    </w:r>
    <w:r>
      <w:t>a201</w:t>
    </w:r>
    <w:r>
      <w:rPr>
        <w:rFonts w:hint="eastAsia"/>
      </w:rPr>
      <w:t>6</w:t>
    </w:r>
    <w:r>
      <w:t>0</w:t>
    </w:r>
    <w:r>
      <w:rPr>
        <w:rFonts w:hint="eastAsia"/>
      </w:rPr>
      <w:t>2</w:t>
    </w:r>
    <w:r>
      <w:t>0</w:t>
    </w:r>
    <w:r>
      <w:rPr>
        <w:rFonts w:hint="eastAsia"/>
      </w:rPr>
      <w:t>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3"/>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7C1BE81"/>
    <w:multiLevelType w:val="singleLevel"/>
    <w:tmpl w:val="57C1BE81"/>
    <w:lvl w:ilvl="0" w:tentative="0">
      <w:start w:val="1"/>
      <w:numFmt w:val="chineseCounting"/>
      <w:suff w:val="nothing"/>
      <w:lvlText w:val="%1、"/>
      <w:lvlJc w:val="left"/>
    </w:lvl>
  </w:abstractNum>
  <w:abstractNum w:abstractNumId="13">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8"/>
  </w:num>
  <w:num w:numId="11">
    <w:abstractNumId w:val="9"/>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172B1"/>
    <w:rsid w:val="00017762"/>
    <w:rsid w:val="00025E0D"/>
    <w:rsid w:val="00030393"/>
    <w:rsid w:val="00031C7E"/>
    <w:rsid w:val="0003530E"/>
    <w:rsid w:val="000357E4"/>
    <w:rsid w:val="00046FE4"/>
    <w:rsid w:val="00053FA8"/>
    <w:rsid w:val="00063730"/>
    <w:rsid w:val="00065100"/>
    <w:rsid w:val="000654CD"/>
    <w:rsid w:val="00066F4F"/>
    <w:rsid w:val="000717EF"/>
    <w:rsid w:val="000831F0"/>
    <w:rsid w:val="0008364D"/>
    <w:rsid w:val="00090522"/>
    <w:rsid w:val="00090E40"/>
    <w:rsid w:val="0009698E"/>
    <w:rsid w:val="000B5FE3"/>
    <w:rsid w:val="000C0608"/>
    <w:rsid w:val="000C1AAD"/>
    <w:rsid w:val="000C728A"/>
    <w:rsid w:val="000F6C3E"/>
    <w:rsid w:val="00121397"/>
    <w:rsid w:val="00122510"/>
    <w:rsid w:val="00137F5B"/>
    <w:rsid w:val="001509F3"/>
    <w:rsid w:val="001606CE"/>
    <w:rsid w:val="001710AF"/>
    <w:rsid w:val="00177D01"/>
    <w:rsid w:val="001B5D7A"/>
    <w:rsid w:val="001E64FD"/>
    <w:rsid w:val="001E7F93"/>
    <w:rsid w:val="001F34EB"/>
    <w:rsid w:val="001F73AC"/>
    <w:rsid w:val="002252BA"/>
    <w:rsid w:val="0023301E"/>
    <w:rsid w:val="00250837"/>
    <w:rsid w:val="00252595"/>
    <w:rsid w:val="0026054C"/>
    <w:rsid w:val="0027176F"/>
    <w:rsid w:val="002818B6"/>
    <w:rsid w:val="00284CE0"/>
    <w:rsid w:val="00287085"/>
    <w:rsid w:val="00287B31"/>
    <w:rsid w:val="002A0288"/>
    <w:rsid w:val="002C01E1"/>
    <w:rsid w:val="002C368D"/>
    <w:rsid w:val="002C3B52"/>
    <w:rsid w:val="002C5CD4"/>
    <w:rsid w:val="002D631F"/>
    <w:rsid w:val="002E78B0"/>
    <w:rsid w:val="00300865"/>
    <w:rsid w:val="00305780"/>
    <w:rsid w:val="00305F4A"/>
    <w:rsid w:val="0030630D"/>
    <w:rsid w:val="003252C5"/>
    <w:rsid w:val="00325926"/>
    <w:rsid w:val="003425CE"/>
    <w:rsid w:val="00342D21"/>
    <w:rsid w:val="00351463"/>
    <w:rsid w:val="003703A1"/>
    <w:rsid w:val="003773F9"/>
    <w:rsid w:val="00377D32"/>
    <w:rsid w:val="003870FC"/>
    <w:rsid w:val="003A0C04"/>
    <w:rsid w:val="003A0ED2"/>
    <w:rsid w:val="003A2500"/>
    <w:rsid w:val="003A3608"/>
    <w:rsid w:val="003B5BEA"/>
    <w:rsid w:val="003C28BC"/>
    <w:rsid w:val="003D039F"/>
    <w:rsid w:val="003D281A"/>
    <w:rsid w:val="003D6EE4"/>
    <w:rsid w:val="003F1C52"/>
    <w:rsid w:val="00400C47"/>
    <w:rsid w:val="00403136"/>
    <w:rsid w:val="004044EF"/>
    <w:rsid w:val="0042524A"/>
    <w:rsid w:val="00431970"/>
    <w:rsid w:val="004338C5"/>
    <w:rsid w:val="0044592E"/>
    <w:rsid w:val="0045085C"/>
    <w:rsid w:val="00452FC3"/>
    <w:rsid w:val="00457F8B"/>
    <w:rsid w:val="00461461"/>
    <w:rsid w:val="00465AB2"/>
    <w:rsid w:val="00474C1D"/>
    <w:rsid w:val="00477410"/>
    <w:rsid w:val="0049654D"/>
    <w:rsid w:val="004A376E"/>
    <w:rsid w:val="004A6167"/>
    <w:rsid w:val="004B3176"/>
    <w:rsid w:val="004B7746"/>
    <w:rsid w:val="004D1F51"/>
    <w:rsid w:val="004E20F8"/>
    <w:rsid w:val="004F5429"/>
    <w:rsid w:val="00501365"/>
    <w:rsid w:val="00531476"/>
    <w:rsid w:val="005329FE"/>
    <w:rsid w:val="00562EFD"/>
    <w:rsid w:val="00577B97"/>
    <w:rsid w:val="005900E5"/>
    <w:rsid w:val="005962D3"/>
    <w:rsid w:val="005A2338"/>
    <w:rsid w:val="005A7A78"/>
    <w:rsid w:val="005F244D"/>
    <w:rsid w:val="00603005"/>
    <w:rsid w:val="0060371D"/>
    <w:rsid w:val="00605F06"/>
    <w:rsid w:val="006306B2"/>
    <w:rsid w:val="00634A81"/>
    <w:rsid w:val="0063561C"/>
    <w:rsid w:val="00641BCE"/>
    <w:rsid w:val="006639B7"/>
    <w:rsid w:val="00663DE3"/>
    <w:rsid w:val="0067394C"/>
    <w:rsid w:val="00674466"/>
    <w:rsid w:val="00676378"/>
    <w:rsid w:val="0068058F"/>
    <w:rsid w:val="00690697"/>
    <w:rsid w:val="00692253"/>
    <w:rsid w:val="00692EA0"/>
    <w:rsid w:val="00694422"/>
    <w:rsid w:val="006A5A72"/>
    <w:rsid w:val="006B3304"/>
    <w:rsid w:val="006B708C"/>
    <w:rsid w:val="006C1EBB"/>
    <w:rsid w:val="006C6DDB"/>
    <w:rsid w:val="006D0835"/>
    <w:rsid w:val="006F61F2"/>
    <w:rsid w:val="007146AE"/>
    <w:rsid w:val="0072247F"/>
    <w:rsid w:val="00731AD5"/>
    <w:rsid w:val="0074446F"/>
    <w:rsid w:val="0074489B"/>
    <w:rsid w:val="0075633F"/>
    <w:rsid w:val="00770448"/>
    <w:rsid w:val="00774136"/>
    <w:rsid w:val="00776178"/>
    <w:rsid w:val="00794BC8"/>
    <w:rsid w:val="00797190"/>
    <w:rsid w:val="007C1659"/>
    <w:rsid w:val="007C35CB"/>
    <w:rsid w:val="007C7B2E"/>
    <w:rsid w:val="007D250D"/>
    <w:rsid w:val="007E2B3E"/>
    <w:rsid w:val="007E52F7"/>
    <w:rsid w:val="007F4A5F"/>
    <w:rsid w:val="0080610D"/>
    <w:rsid w:val="008143EB"/>
    <w:rsid w:val="0081578B"/>
    <w:rsid w:val="00821F98"/>
    <w:rsid w:val="00824934"/>
    <w:rsid w:val="00832D17"/>
    <w:rsid w:val="0083786E"/>
    <w:rsid w:val="00846C02"/>
    <w:rsid w:val="00856523"/>
    <w:rsid w:val="008A5378"/>
    <w:rsid w:val="008C1CAA"/>
    <w:rsid w:val="008C2CD6"/>
    <w:rsid w:val="008D508F"/>
    <w:rsid w:val="008D668A"/>
    <w:rsid w:val="008E01EF"/>
    <w:rsid w:val="00907E14"/>
    <w:rsid w:val="00914B55"/>
    <w:rsid w:val="00931111"/>
    <w:rsid w:val="0093224B"/>
    <w:rsid w:val="00935797"/>
    <w:rsid w:val="0093676A"/>
    <w:rsid w:val="00952B4E"/>
    <w:rsid w:val="00974DD3"/>
    <w:rsid w:val="00986125"/>
    <w:rsid w:val="009914F7"/>
    <w:rsid w:val="00991AB8"/>
    <w:rsid w:val="009B0164"/>
    <w:rsid w:val="009E09ED"/>
    <w:rsid w:val="009E2761"/>
    <w:rsid w:val="009F14C7"/>
    <w:rsid w:val="009F3BE3"/>
    <w:rsid w:val="009F7526"/>
    <w:rsid w:val="00A10578"/>
    <w:rsid w:val="00A13B78"/>
    <w:rsid w:val="00A670D5"/>
    <w:rsid w:val="00A92484"/>
    <w:rsid w:val="00AA0B06"/>
    <w:rsid w:val="00AB31CB"/>
    <w:rsid w:val="00AC66E3"/>
    <w:rsid w:val="00AC7645"/>
    <w:rsid w:val="00AE7797"/>
    <w:rsid w:val="00B11BBD"/>
    <w:rsid w:val="00B448DE"/>
    <w:rsid w:val="00B45F48"/>
    <w:rsid w:val="00B529F3"/>
    <w:rsid w:val="00B65086"/>
    <w:rsid w:val="00B651A6"/>
    <w:rsid w:val="00B65EE1"/>
    <w:rsid w:val="00B6627F"/>
    <w:rsid w:val="00B73B85"/>
    <w:rsid w:val="00BA52A2"/>
    <w:rsid w:val="00BA5EA3"/>
    <w:rsid w:val="00BB6398"/>
    <w:rsid w:val="00BB64A0"/>
    <w:rsid w:val="00BC085C"/>
    <w:rsid w:val="00BC5502"/>
    <w:rsid w:val="00BC7B66"/>
    <w:rsid w:val="00BD3B31"/>
    <w:rsid w:val="00BE1157"/>
    <w:rsid w:val="00BF5D62"/>
    <w:rsid w:val="00C2796A"/>
    <w:rsid w:val="00C37456"/>
    <w:rsid w:val="00C47FF4"/>
    <w:rsid w:val="00C5150B"/>
    <w:rsid w:val="00C56C91"/>
    <w:rsid w:val="00C605D6"/>
    <w:rsid w:val="00C62AC5"/>
    <w:rsid w:val="00C6586F"/>
    <w:rsid w:val="00C65996"/>
    <w:rsid w:val="00C81DB7"/>
    <w:rsid w:val="00CA2377"/>
    <w:rsid w:val="00CA2A81"/>
    <w:rsid w:val="00CB21E5"/>
    <w:rsid w:val="00CB78D6"/>
    <w:rsid w:val="00CC004A"/>
    <w:rsid w:val="00CC4D96"/>
    <w:rsid w:val="00CD480D"/>
    <w:rsid w:val="00CD6A87"/>
    <w:rsid w:val="00CE334C"/>
    <w:rsid w:val="00CE472D"/>
    <w:rsid w:val="00CF44BD"/>
    <w:rsid w:val="00CF6431"/>
    <w:rsid w:val="00D06016"/>
    <w:rsid w:val="00D13871"/>
    <w:rsid w:val="00D34F23"/>
    <w:rsid w:val="00D44E38"/>
    <w:rsid w:val="00D5228E"/>
    <w:rsid w:val="00D53344"/>
    <w:rsid w:val="00D7168A"/>
    <w:rsid w:val="00D74B97"/>
    <w:rsid w:val="00D83E92"/>
    <w:rsid w:val="00D91C23"/>
    <w:rsid w:val="00DA4D38"/>
    <w:rsid w:val="00DD383D"/>
    <w:rsid w:val="00DE00D8"/>
    <w:rsid w:val="00DE15DB"/>
    <w:rsid w:val="00DE273F"/>
    <w:rsid w:val="00DF5ABB"/>
    <w:rsid w:val="00E01B8E"/>
    <w:rsid w:val="00E10B32"/>
    <w:rsid w:val="00E22FB3"/>
    <w:rsid w:val="00E54D9B"/>
    <w:rsid w:val="00E71DE3"/>
    <w:rsid w:val="00E73633"/>
    <w:rsid w:val="00E75506"/>
    <w:rsid w:val="00E80E86"/>
    <w:rsid w:val="00E82A58"/>
    <w:rsid w:val="00E95335"/>
    <w:rsid w:val="00E95570"/>
    <w:rsid w:val="00EC14CD"/>
    <w:rsid w:val="00ED2E4D"/>
    <w:rsid w:val="00EE2C5C"/>
    <w:rsid w:val="00EF3A8C"/>
    <w:rsid w:val="00EF4A72"/>
    <w:rsid w:val="00F01BC5"/>
    <w:rsid w:val="00F073DF"/>
    <w:rsid w:val="00F1281A"/>
    <w:rsid w:val="00F13AC7"/>
    <w:rsid w:val="00F23CD5"/>
    <w:rsid w:val="00F42AC6"/>
    <w:rsid w:val="00F6533C"/>
    <w:rsid w:val="00F76B4D"/>
    <w:rsid w:val="00F81DE8"/>
    <w:rsid w:val="00F84240"/>
    <w:rsid w:val="00F96164"/>
    <w:rsid w:val="00FA1FD5"/>
    <w:rsid w:val="00FA397E"/>
    <w:rsid w:val="00FB3E9D"/>
    <w:rsid w:val="00FD4D1A"/>
    <w:rsid w:val="00FE0E37"/>
    <w:rsid w:val="00FE4E5F"/>
    <w:rsid w:val="00FF16F7"/>
    <w:rsid w:val="00FF208F"/>
    <w:rsid w:val="00FF2765"/>
    <w:rsid w:val="00FF7F36"/>
    <w:rsid w:val="018F42A9"/>
    <w:rsid w:val="01B55A15"/>
    <w:rsid w:val="037506CD"/>
    <w:rsid w:val="0548225F"/>
    <w:rsid w:val="058E1B2B"/>
    <w:rsid w:val="05AA264E"/>
    <w:rsid w:val="066B6FC6"/>
    <w:rsid w:val="06E626F9"/>
    <w:rsid w:val="075C6AE8"/>
    <w:rsid w:val="076832FE"/>
    <w:rsid w:val="0813472C"/>
    <w:rsid w:val="08A930D3"/>
    <w:rsid w:val="08D35232"/>
    <w:rsid w:val="0EA41FED"/>
    <w:rsid w:val="0FF80C6E"/>
    <w:rsid w:val="10474447"/>
    <w:rsid w:val="145B4B2B"/>
    <w:rsid w:val="148A1341"/>
    <w:rsid w:val="16CA1B68"/>
    <w:rsid w:val="18C84FF4"/>
    <w:rsid w:val="1951742B"/>
    <w:rsid w:val="19F27919"/>
    <w:rsid w:val="1AC7375C"/>
    <w:rsid w:val="1B64767D"/>
    <w:rsid w:val="1BBF0E59"/>
    <w:rsid w:val="1CE32C9C"/>
    <w:rsid w:val="1F6E5659"/>
    <w:rsid w:val="205A0711"/>
    <w:rsid w:val="207E18B3"/>
    <w:rsid w:val="217F3FCC"/>
    <w:rsid w:val="21C514BA"/>
    <w:rsid w:val="226C58A8"/>
    <w:rsid w:val="24534B25"/>
    <w:rsid w:val="26702B02"/>
    <w:rsid w:val="2BCD67CC"/>
    <w:rsid w:val="2CAD7AAF"/>
    <w:rsid w:val="309A6D3B"/>
    <w:rsid w:val="314544FF"/>
    <w:rsid w:val="32416143"/>
    <w:rsid w:val="341345B6"/>
    <w:rsid w:val="35EE4A9E"/>
    <w:rsid w:val="3618061A"/>
    <w:rsid w:val="376D7F6C"/>
    <w:rsid w:val="392358F6"/>
    <w:rsid w:val="397A4A2F"/>
    <w:rsid w:val="39A0024B"/>
    <w:rsid w:val="3B4859A1"/>
    <w:rsid w:val="3BE31DF5"/>
    <w:rsid w:val="3D897F60"/>
    <w:rsid w:val="3FAF1118"/>
    <w:rsid w:val="42296984"/>
    <w:rsid w:val="43856723"/>
    <w:rsid w:val="44B84BA8"/>
    <w:rsid w:val="44F11CA4"/>
    <w:rsid w:val="450257D0"/>
    <w:rsid w:val="45F62A57"/>
    <w:rsid w:val="484627FE"/>
    <w:rsid w:val="493A4171"/>
    <w:rsid w:val="4C4B0119"/>
    <w:rsid w:val="4C5751A3"/>
    <w:rsid w:val="4CEB231E"/>
    <w:rsid w:val="4EE40B2B"/>
    <w:rsid w:val="4F802E1C"/>
    <w:rsid w:val="50582AB6"/>
    <w:rsid w:val="507E56F2"/>
    <w:rsid w:val="5125005C"/>
    <w:rsid w:val="540F1575"/>
    <w:rsid w:val="55BB1007"/>
    <w:rsid w:val="562F33CA"/>
    <w:rsid w:val="574963BC"/>
    <w:rsid w:val="582430FC"/>
    <w:rsid w:val="584116A5"/>
    <w:rsid w:val="5934491F"/>
    <w:rsid w:val="5A461AB0"/>
    <w:rsid w:val="5AC91C45"/>
    <w:rsid w:val="5D2211BE"/>
    <w:rsid w:val="5EAD3E71"/>
    <w:rsid w:val="62623D0C"/>
    <w:rsid w:val="66787844"/>
    <w:rsid w:val="66834294"/>
    <w:rsid w:val="677E4496"/>
    <w:rsid w:val="68C05EEC"/>
    <w:rsid w:val="6C2513B2"/>
    <w:rsid w:val="6C84091D"/>
    <w:rsid w:val="6E7C0828"/>
    <w:rsid w:val="6F8F0F02"/>
    <w:rsid w:val="70D663F4"/>
    <w:rsid w:val="70EB0A5F"/>
    <w:rsid w:val="714473EA"/>
    <w:rsid w:val="72B9768C"/>
    <w:rsid w:val="73AC74E9"/>
    <w:rsid w:val="743C4E8C"/>
    <w:rsid w:val="751A7D13"/>
    <w:rsid w:val="77275BCB"/>
    <w:rsid w:val="788F5574"/>
    <w:rsid w:val="790078D3"/>
    <w:rsid w:val="7C694187"/>
    <w:rsid w:val="7CA04D59"/>
    <w:rsid w:val="7F9D35C9"/>
    <w:rsid w:val="7FEB0D6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6"/>
    <w:qFormat/>
    <w:uiPriority w:val="0"/>
    <w:rPr>
      <w:b/>
      <w:bCs/>
    </w:rPr>
  </w:style>
  <w:style w:type="paragraph" w:styleId="6">
    <w:name w:val="annotation text"/>
    <w:basedOn w:val="1"/>
    <w:link w:val="35"/>
    <w:unhideWhenUsed/>
    <w:qFormat/>
    <w:uiPriority w:val="0"/>
    <w:pPr>
      <w:jc w:val="left"/>
    </w:pPr>
  </w:style>
  <w:style w:type="paragraph" w:styleId="7">
    <w:name w:val="Body Text 3"/>
    <w:basedOn w:val="1"/>
    <w:link w:val="27"/>
    <w:qFormat/>
    <w:uiPriority w:val="0"/>
    <w:pPr>
      <w:spacing w:after="156" w:afterLines="50" w:line="660" w:lineRule="exact"/>
      <w:jc w:val="center"/>
    </w:pPr>
    <w:rPr>
      <w:rFonts w:ascii="黑体" w:hAnsi="宋体" w:eastAsia="黑体"/>
      <w:sz w:val="48"/>
    </w:rPr>
  </w:style>
  <w:style w:type="paragraph" w:styleId="8">
    <w:name w:val="Body Text"/>
    <w:basedOn w:val="1"/>
    <w:link w:val="37"/>
    <w:qFormat/>
    <w:uiPriority w:val="0"/>
    <w:pPr>
      <w:framePr w:hSpace="180" w:wrap="notBeside" w:vAnchor="page" w:hAnchor="page" w:x="1738" w:y="1909"/>
      <w:spacing w:line="440" w:lineRule="exact"/>
      <w:jc w:val="center"/>
    </w:pPr>
    <w:rPr>
      <w:rFonts w:eastAsia="黑体"/>
      <w:b/>
      <w:spacing w:val="100"/>
      <w:sz w:val="24"/>
    </w:rPr>
  </w:style>
  <w:style w:type="paragraph" w:styleId="9">
    <w:name w:val="Plain Text"/>
    <w:basedOn w:val="1"/>
    <w:link w:val="28"/>
    <w:qFormat/>
    <w:uiPriority w:val="0"/>
    <w:rPr>
      <w:rFonts w:ascii="宋体" w:hAnsi="Courier New" w:cs="Courier New"/>
      <w:szCs w:val="21"/>
    </w:rPr>
  </w:style>
  <w:style w:type="paragraph" w:styleId="10">
    <w:name w:val="Balloon Text"/>
    <w:basedOn w:val="1"/>
    <w:link w:val="29"/>
    <w:unhideWhenUsed/>
    <w:qFormat/>
    <w:uiPriority w:val="0"/>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99"/>
    <w:pPr>
      <w:spacing w:beforeAutospacing="1" w:afterAutospacing="1"/>
      <w:jc w:val="left"/>
    </w:pPr>
    <w:rPr>
      <w:kern w:val="0"/>
      <w:sz w:val="24"/>
    </w:rPr>
  </w:style>
  <w:style w:type="character" w:styleId="17">
    <w:name w:val="Strong"/>
    <w:basedOn w:val="16"/>
    <w:qFormat/>
    <w:uiPriority w:val="22"/>
    <w:rPr>
      <w:b/>
      <w:bCs/>
    </w:rPr>
  </w:style>
  <w:style w:type="character" w:styleId="18">
    <w:name w:val="FollowedHyperlink"/>
    <w:basedOn w:val="16"/>
    <w:unhideWhenUsed/>
    <w:uiPriority w:val="99"/>
    <w:rPr>
      <w:color w:val="800080"/>
      <w:u w:val="single"/>
    </w:rPr>
  </w:style>
  <w:style w:type="character" w:styleId="19">
    <w:name w:val="Emphasis"/>
    <w:basedOn w:val="16"/>
    <w:qFormat/>
    <w:uiPriority w:val="20"/>
    <w:rPr>
      <w:i/>
      <w:iCs/>
    </w:rPr>
  </w:style>
  <w:style w:type="character" w:styleId="20">
    <w:name w:val="Hyperlink"/>
    <w:qFormat/>
    <w:uiPriority w:val="99"/>
    <w:rPr>
      <w:color w:val="0000FF"/>
      <w:u w:val="single"/>
    </w:rPr>
  </w:style>
  <w:style w:type="character" w:styleId="21">
    <w:name w:val="annotation reference"/>
    <w:basedOn w:val="16"/>
    <w:qFormat/>
    <w:uiPriority w:val="0"/>
    <w:rPr>
      <w:sz w:val="21"/>
      <w:szCs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标题 1 Char"/>
    <w:basedOn w:val="16"/>
    <w:link w:val="2"/>
    <w:qFormat/>
    <w:uiPriority w:val="0"/>
    <w:rPr>
      <w:rFonts w:ascii="Times New Roman" w:hAnsi="Times New Roman" w:eastAsia="宋体" w:cs="Times New Roman"/>
      <w:b/>
      <w:bCs/>
      <w:kern w:val="44"/>
      <w:sz w:val="44"/>
      <w:szCs w:val="44"/>
    </w:rPr>
  </w:style>
  <w:style w:type="character" w:customStyle="1" w:styleId="25">
    <w:name w:val="标题 2 Char"/>
    <w:basedOn w:val="16"/>
    <w:link w:val="3"/>
    <w:semiHidden/>
    <w:qFormat/>
    <w:uiPriority w:val="9"/>
    <w:rPr>
      <w:rFonts w:asciiTheme="majorHAnsi" w:hAnsiTheme="majorHAnsi" w:eastAsiaTheme="majorEastAsia" w:cstheme="majorBidi"/>
      <w:b/>
      <w:bCs/>
      <w:sz w:val="32"/>
      <w:szCs w:val="32"/>
    </w:rPr>
  </w:style>
  <w:style w:type="character" w:customStyle="1" w:styleId="26">
    <w:name w:val="标题 3 Char"/>
    <w:basedOn w:val="16"/>
    <w:link w:val="4"/>
    <w:qFormat/>
    <w:uiPriority w:val="0"/>
    <w:rPr>
      <w:rFonts w:ascii="Times New Roman" w:hAnsi="Times New Roman" w:eastAsia="宋体" w:cs="Times New Roman"/>
      <w:b/>
      <w:bCs/>
      <w:kern w:val="2"/>
      <w:sz w:val="32"/>
      <w:szCs w:val="32"/>
    </w:rPr>
  </w:style>
  <w:style w:type="character" w:customStyle="1" w:styleId="27">
    <w:name w:val="正文文本 3 Char"/>
    <w:basedOn w:val="16"/>
    <w:link w:val="7"/>
    <w:qFormat/>
    <w:uiPriority w:val="0"/>
    <w:rPr>
      <w:rFonts w:ascii="黑体" w:hAnsi="宋体" w:eastAsia="黑体" w:cs="Times New Roman"/>
      <w:sz w:val="48"/>
      <w:szCs w:val="24"/>
    </w:rPr>
  </w:style>
  <w:style w:type="character" w:customStyle="1" w:styleId="28">
    <w:name w:val="纯文本 Char"/>
    <w:basedOn w:val="16"/>
    <w:link w:val="9"/>
    <w:qFormat/>
    <w:uiPriority w:val="0"/>
    <w:rPr>
      <w:rFonts w:ascii="宋体" w:hAnsi="Courier New" w:eastAsia="宋体" w:cs="Courier New"/>
      <w:szCs w:val="21"/>
    </w:rPr>
  </w:style>
  <w:style w:type="character" w:customStyle="1" w:styleId="29">
    <w:name w:val="批注框文本 Char"/>
    <w:basedOn w:val="16"/>
    <w:link w:val="10"/>
    <w:qFormat/>
    <w:uiPriority w:val="0"/>
    <w:rPr>
      <w:rFonts w:ascii="Times New Roman" w:hAnsi="Times New Roman" w:eastAsia="宋体" w:cs="Times New Roman"/>
      <w:sz w:val="18"/>
      <w:szCs w:val="18"/>
    </w:rPr>
  </w:style>
  <w:style w:type="character" w:customStyle="1" w:styleId="30">
    <w:name w:val="页脚 Char"/>
    <w:basedOn w:val="16"/>
    <w:link w:val="11"/>
    <w:qFormat/>
    <w:uiPriority w:val="99"/>
    <w:rPr>
      <w:sz w:val="18"/>
      <w:szCs w:val="18"/>
    </w:rPr>
  </w:style>
  <w:style w:type="character" w:customStyle="1" w:styleId="31">
    <w:name w:val="页眉 Char"/>
    <w:basedOn w:val="16"/>
    <w:link w:val="12"/>
    <w:qFormat/>
    <w:uiPriority w:val="0"/>
    <w:rPr>
      <w:sz w:val="18"/>
      <w:szCs w:val="18"/>
    </w:rPr>
  </w:style>
  <w:style w:type="character" w:customStyle="1" w:styleId="32">
    <w:name w:val="HTML 打字机1"/>
    <w:qFormat/>
    <w:uiPriority w:val="0"/>
    <w:rPr>
      <w:rFonts w:ascii="Courier New" w:hAnsi="Courier New" w:cs="Courier New"/>
      <w:sz w:val="20"/>
      <w:szCs w:val="20"/>
    </w:rPr>
  </w:style>
  <w:style w:type="paragraph" w:customStyle="1" w:styleId="33">
    <w:name w:val="Char1 Char Char Char"/>
    <w:basedOn w:val="1"/>
    <w:qFormat/>
    <w:uiPriority w:val="0"/>
    <w:pPr>
      <w:numPr>
        <w:ilvl w:val="0"/>
        <w:numId w:val="1"/>
      </w:numPr>
      <w:tabs>
        <w:tab w:val="left" w:pos="420"/>
      </w:tabs>
    </w:pPr>
  </w:style>
  <w:style w:type="paragraph" w:customStyle="1" w:styleId="34">
    <w:name w:val="列出段落1"/>
    <w:basedOn w:val="1"/>
    <w:qFormat/>
    <w:uiPriority w:val="34"/>
    <w:pPr>
      <w:ind w:firstLine="420" w:firstLineChars="200"/>
    </w:pPr>
  </w:style>
  <w:style w:type="character" w:customStyle="1" w:styleId="35">
    <w:name w:val="批注文字 Char"/>
    <w:basedOn w:val="16"/>
    <w:link w:val="6"/>
    <w:qFormat/>
    <w:uiPriority w:val="0"/>
    <w:rPr>
      <w:rFonts w:ascii="Times New Roman" w:hAnsi="Times New Roman" w:eastAsia="宋体" w:cs="Times New Roman"/>
      <w:kern w:val="2"/>
      <w:sz w:val="21"/>
      <w:szCs w:val="24"/>
    </w:rPr>
  </w:style>
  <w:style w:type="character" w:customStyle="1" w:styleId="36">
    <w:name w:val="批注主题 Char"/>
    <w:basedOn w:val="35"/>
    <w:link w:val="5"/>
    <w:qFormat/>
    <w:uiPriority w:val="0"/>
    <w:rPr>
      <w:rFonts w:ascii="Times New Roman" w:hAnsi="Times New Roman" w:eastAsia="宋体" w:cs="Times New Roman"/>
      <w:b/>
      <w:bCs/>
      <w:kern w:val="2"/>
      <w:sz w:val="21"/>
      <w:szCs w:val="24"/>
    </w:rPr>
  </w:style>
  <w:style w:type="character" w:customStyle="1" w:styleId="37">
    <w:name w:val="正文文本 Char"/>
    <w:basedOn w:val="16"/>
    <w:link w:val="8"/>
    <w:qFormat/>
    <w:uiPriority w:val="0"/>
    <w:rPr>
      <w:rFonts w:ascii="Times New Roman" w:hAnsi="Times New Roman" w:eastAsia="黑体" w:cs="Times New Roman"/>
      <w:b/>
      <w:spacing w:val="100"/>
      <w:kern w:val="2"/>
      <w:sz w:val="24"/>
      <w:szCs w:val="24"/>
    </w:rPr>
  </w:style>
  <w:style w:type="character" w:customStyle="1" w:styleId="38">
    <w:name w:val="main1"/>
    <w:qFormat/>
    <w:uiPriority w:val="0"/>
    <w:rPr>
      <w:rFonts w:hint="eastAsia" w:ascii="宋体" w:hAnsi="宋体" w:eastAsia="宋体"/>
      <w:color w:val="000000"/>
      <w:sz w:val="18"/>
      <w:szCs w:val="18"/>
    </w:rPr>
  </w:style>
  <w:style w:type="character" w:customStyle="1" w:styleId="39">
    <w:name w:val="font21"/>
    <w:basedOn w:val="16"/>
    <w:qFormat/>
    <w:uiPriority w:val="0"/>
    <w:rPr>
      <w:rFonts w:hint="eastAsia" w:ascii="宋体" w:hAnsi="宋体" w:eastAsia="宋体" w:cs="宋体"/>
      <w:color w:val="000000"/>
      <w:sz w:val="20"/>
      <w:szCs w:val="20"/>
      <w:u w:val="none"/>
    </w:rPr>
  </w:style>
  <w:style w:type="character" w:customStyle="1" w:styleId="40">
    <w:name w:val="font01"/>
    <w:basedOn w:val="16"/>
    <w:qFormat/>
    <w:uiPriority w:val="0"/>
    <w:rPr>
      <w:rFonts w:hint="default" w:ascii="Arial" w:hAnsi="Arial" w:cs="Arial"/>
      <w:color w:val="000000"/>
      <w:sz w:val="20"/>
      <w:szCs w:val="20"/>
      <w:u w:val="none"/>
    </w:rPr>
  </w:style>
  <w:style w:type="character" w:customStyle="1" w:styleId="41">
    <w:name w:val="font11"/>
    <w:basedOn w:val="16"/>
    <w:qFormat/>
    <w:uiPriority w:val="0"/>
    <w:rPr>
      <w:rFonts w:hint="eastAsia" w:ascii="宋体" w:hAnsi="宋体" w:eastAsia="宋体" w:cs="宋体"/>
      <w:color w:val="000000"/>
      <w:sz w:val="20"/>
      <w:szCs w:val="20"/>
      <w:u w:val="none"/>
    </w:rPr>
  </w:style>
  <w:style w:type="paragraph" w:customStyle="1" w:styleId="42">
    <w:name w:val="列出段落2"/>
    <w:basedOn w:val="1"/>
    <w:unhideWhenUsed/>
    <w:qFormat/>
    <w:uiPriority w:val="99"/>
    <w:pPr>
      <w:ind w:firstLine="420" w:firstLineChars="200"/>
    </w:pPr>
  </w:style>
  <w:style w:type="paragraph" w:customStyle="1" w:styleId="43">
    <w:name w:val="列出段落3"/>
    <w:basedOn w:val="1"/>
    <w:unhideWhenUsed/>
    <w:qFormat/>
    <w:uiPriority w:val="99"/>
    <w:pPr>
      <w:ind w:firstLine="420" w:firstLineChars="200"/>
    </w:pPr>
  </w:style>
  <w:style w:type="character" w:customStyle="1" w:styleId="44">
    <w:name w:val="apple-converted-space"/>
    <w:basedOn w:val="16"/>
    <w:qFormat/>
    <w:uiPriority w:val="0"/>
  </w:style>
  <w:style w:type="paragraph" w:customStyle="1" w:styleId="45">
    <w:name w:val="列出段落4"/>
    <w:basedOn w:val="1"/>
    <w:unhideWhenUsed/>
    <w:qFormat/>
    <w:uiPriority w:val="99"/>
    <w:pPr>
      <w:ind w:firstLine="420" w:firstLineChars="200"/>
    </w:pPr>
  </w:style>
  <w:style w:type="paragraph" w:customStyle="1" w:styleId="46">
    <w:name w:val="列出段落41"/>
    <w:basedOn w:val="1"/>
    <w:unhideWhenUsed/>
    <w:qFormat/>
    <w:uiPriority w:val="99"/>
    <w:pPr>
      <w:ind w:firstLine="420" w:firstLineChars="200"/>
    </w:pPr>
  </w:style>
  <w:style w:type="character" w:customStyle="1" w:styleId="47">
    <w:name w:val="font81"/>
    <w:basedOn w:val="16"/>
    <w:uiPriority w:val="0"/>
    <w:rPr>
      <w:rFonts w:hint="eastAsia" w:ascii="宋体" w:hAnsi="宋体" w:eastAsia="宋体" w:cs="宋体"/>
      <w:color w:val="000000"/>
      <w:sz w:val="20"/>
      <w:szCs w:val="20"/>
      <w:u w:val="none"/>
      <w:vertAlign w:val="superscript"/>
    </w:rPr>
  </w:style>
  <w:style w:type="character" w:customStyle="1" w:styleId="48">
    <w:name w:val="font41"/>
    <w:basedOn w:val="16"/>
    <w:qFormat/>
    <w:uiPriority w:val="0"/>
    <w:rPr>
      <w:rFonts w:hint="eastAsia" w:ascii="宋体" w:hAnsi="宋体" w:eastAsia="宋体" w:cs="宋体"/>
      <w:color w:val="000000"/>
      <w:sz w:val="20"/>
      <w:szCs w:val="20"/>
      <w:u w:val="none"/>
    </w:rPr>
  </w:style>
  <w:style w:type="character" w:customStyle="1" w:styleId="49">
    <w:name w:val="font51"/>
    <w:basedOn w:val="16"/>
    <w:qFormat/>
    <w:uiPriority w:val="0"/>
    <w:rPr>
      <w:rFonts w:hint="eastAsia" w:ascii="宋体" w:hAnsi="宋体" w:eastAsia="宋体" w:cs="宋体"/>
      <w:color w:val="000000"/>
      <w:sz w:val="20"/>
      <w:szCs w:val="20"/>
      <w:u w:val="none"/>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1">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52">
    <w:name w:val="font7"/>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53">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4">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56">
    <w:name w:val="font12"/>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57">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8">
    <w:name w:val="font14"/>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59">
    <w:name w:val="font15"/>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
    <w:name w:val="xl6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6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
    <w:name w:val="xl70"/>
    <w:basedOn w:val="1"/>
    <w:uiPriority w:val="0"/>
    <w:pPr>
      <w:widowControl/>
      <w:spacing w:before="100" w:beforeAutospacing="1" w:after="100" w:afterAutospacing="1"/>
      <w:jc w:val="center"/>
    </w:pPr>
    <w:rPr>
      <w:rFonts w:ascii="宋体" w:hAnsi="宋体" w:cs="宋体"/>
      <w:kern w:val="0"/>
      <w:sz w:val="20"/>
      <w:szCs w:val="20"/>
    </w:rPr>
  </w:style>
  <w:style w:type="paragraph" w:customStyle="1" w:styleId="6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9">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
    <w:name w:val="xl77"/>
    <w:basedOn w:val="1"/>
    <w:qFormat/>
    <w:uiPriority w:val="0"/>
    <w:pPr>
      <w:widowControl/>
      <w:pBdr>
        <w:top w:val="single" w:color="auto" w:sz="4" w:space="0"/>
        <w:left w:val="single" w:color="auto" w:sz="4" w:space="0"/>
        <w:bottom w:val="single" w:color="auto" w:sz="4" w:space="0"/>
      </w:pBdr>
      <w:shd w:val="clear" w:color="000000" w:fill="C4BD97"/>
      <w:spacing w:before="100" w:beforeAutospacing="1" w:after="100" w:afterAutospacing="1"/>
      <w:jc w:val="center"/>
    </w:pPr>
    <w:rPr>
      <w:rFonts w:ascii="宋体" w:hAnsi="宋体" w:cs="宋体"/>
      <w:kern w:val="0"/>
      <w:sz w:val="20"/>
      <w:szCs w:val="20"/>
    </w:rPr>
  </w:style>
  <w:style w:type="paragraph" w:customStyle="1" w:styleId="73">
    <w:name w:val="xl78"/>
    <w:basedOn w:val="1"/>
    <w:qFormat/>
    <w:uiPriority w:val="0"/>
    <w:pPr>
      <w:widowControl/>
      <w:pBdr>
        <w:top w:val="single" w:color="auto" w:sz="4" w:space="0"/>
        <w:bottom w:val="single" w:color="auto" w:sz="4" w:space="0"/>
      </w:pBdr>
      <w:shd w:val="clear" w:color="000000" w:fill="C4BD97"/>
      <w:spacing w:before="100" w:beforeAutospacing="1" w:after="100" w:afterAutospacing="1"/>
      <w:jc w:val="center"/>
    </w:pPr>
    <w:rPr>
      <w:rFonts w:ascii="宋体" w:hAnsi="宋体" w:cs="宋体"/>
      <w:kern w:val="0"/>
      <w:sz w:val="20"/>
      <w:szCs w:val="20"/>
    </w:rPr>
  </w:style>
  <w:style w:type="paragraph" w:customStyle="1" w:styleId="74">
    <w:name w:val="xl79"/>
    <w:basedOn w:val="1"/>
    <w:uiPriority w:val="0"/>
    <w:pPr>
      <w:widowControl/>
      <w:pBdr>
        <w:top w:val="single" w:color="auto" w:sz="4" w:space="0"/>
        <w:bottom w:val="single" w:color="auto" w:sz="4" w:space="0"/>
        <w:right w:val="single" w:color="auto" w:sz="4" w:space="0"/>
      </w:pBdr>
      <w:shd w:val="clear" w:color="000000" w:fill="C4BD97"/>
      <w:spacing w:before="100" w:beforeAutospacing="1" w:after="100" w:afterAutospacing="1"/>
      <w:jc w:val="center"/>
    </w:pPr>
    <w:rPr>
      <w:rFonts w:ascii="宋体" w:hAnsi="宋体" w:cs="宋体"/>
      <w:kern w:val="0"/>
      <w:sz w:val="20"/>
      <w:szCs w:val="20"/>
    </w:rPr>
  </w:style>
  <w:style w:type="paragraph" w:customStyle="1" w:styleId="75">
    <w:name w:val="xl80"/>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rPr>
  </w:style>
  <w:style w:type="paragraph" w:customStyle="1" w:styleId="7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1801</Words>
  <Characters>10267</Characters>
  <Lines>85</Lines>
  <Paragraphs>24</Paragraphs>
  <TotalTime>0</TotalTime>
  <ScaleCrop>false</ScaleCrop>
  <LinksUpToDate>false</LinksUpToDate>
  <CharactersWithSpaces>12044</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2014-03-03T01:06:00Z</dcterms:created>
  <dc:creator>sz</dc:creator>
  <cp:lastModifiedBy>lenovo</cp:lastModifiedBy>
  <cp:lastPrinted>2016-11-10T09:09:00Z</cp:lastPrinted>
  <dcterms:modified xsi:type="dcterms:W3CDTF">2016-12-01T07:43:44Z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