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F4690E"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金融衍生品实训室通用</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F4690E">
        <w:rPr>
          <w:rFonts w:ascii="仿宋_GB2312" w:eastAsia="仿宋_GB2312" w:hAnsi="宋体" w:hint="eastAsia"/>
          <w:b/>
          <w:bCs/>
          <w:sz w:val="28"/>
        </w:rPr>
        <w:t>六</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2077A7">
          <w:rPr>
            <w:noProof/>
            <w:webHidden/>
            <w:sz w:val="24"/>
          </w:rPr>
          <w:t>2</w:t>
        </w:r>
        <w:r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2077A7">
          <w:rPr>
            <w:noProof/>
            <w:webHidden/>
            <w:sz w:val="24"/>
          </w:rPr>
          <w:t>2</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2077A7">
          <w:rPr>
            <w:noProof/>
            <w:webHidden/>
            <w:sz w:val="24"/>
          </w:rPr>
          <w:t>2</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2077A7">
          <w:rPr>
            <w:noProof/>
            <w:webHidden/>
            <w:sz w:val="24"/>
          </w:rPr>
          <w:t>2</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2077A7">
          <w:rPr>
            <w:noProof/>
            <w:webHidden/>
            <w:sz w:val="24"/>
          </w:rPr>
          <w:t>2</w:t>
        </w:r>
        <w:r w:rsidR="005900E5" w:rsidRPr="00066F4F">
          <w:rPr>
            <w:noProof/>
            <w:webHidden/>
            <w:sz w:val="24"/>
          </w:rPr>
          <w:fldChar w:fldCharType="end"/>
        </w:r>
      </w:hyperlink>
    </w:p>
    <w:p w:rsidR="005900E5" w:rsidRPr="00066F4F" w:rsidRDefault="005C61CE"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2077A7">
          <w:rPr>
            <w:noProof/>
            <w:webHidden/>
            <w:sz w:val="24"/>
          </w:rPr>
          <w:t>3</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2077A7">
          <w:rPr>
            <w:noProof/>
            <w:webHidden/>
            <w:sz w:val="24"/>
          </w:rPr>
          <w:t>3</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2077A7">
          <w:rPr>
            <w:noProof/>
            <w:webHidden/>
            <w:sz w:val="24"/>
          </w:rPr>
          <w:t>4</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2077A7">
          <w:rPr>
            <w:noProof/>
            <w:webHidden/>
            <w:sz w:val="24"/>
          </w:rPr>
          <w:t>5</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2077A7">
          <w:rPr>
            <w:noProof/>
            <w:webHidden/>
            <w:sz w:val="24"/>
          </w:rPr>
          <w:t>7</w:t>
        </w:r>
        <w:r w:rsidR="005900E5" w:rsidRPr="00066F4F">
          <w:rPr>
            <w:noProof/>
            <w:webHidden/>
            <w:sz w:val="24"/>
          </w:rPr>
          <w:fldChar w:fldCharType="end"/>
        </w:r>
      </w:hyperlink>
    </w:p>
    <w:p w:rsidR="005900E5" w:rsidRPr="00066F4F" w:rsidRDefault="005C61CE"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2077A7">
          <w:rPr>
            <w:noProof/>
            <w:webHidden/>
            <w:sz w:val="24"/>
          </w:rPr>
          <w:t>9</w:t>
        </w:r>
        <w:r w:rsidR="005900E5" w:rsidRPr="00066F4F">
          <w:rPr>
            <w:noProof/>
            <w:webHidden/>
            <w:sz w:val="24"/>
          </w:rPr>
          <w:fldChar w:fldCharType="end"/>
        </w:r>
      </w:hyperlink>
    </w:p>
    <w:p w:rsidR="005900E5" w:rsidRPr="00066F4F" w:rsidRDefault="005C61CE"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2077A7">
          <w:rPr>
            <w:noProof/>
            <w:webHidden/>
            <w:sz w:val="24"/>
          </w:rPr>
          <w:t>9</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2077A7">
          <w:rPr>
            <w:noProof/>
            <w:webHidden/>
            <w:sz w:val="24"/>
          </w:rPr>
          <w:t>13</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2077A7">
          <w:rPr>
            <w:noProof/>
            <w:webHidden/>
            <w:sz w:val="24"/>
          </w:rPr>
          <w:t>14</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2077A7">
          <w:rPr>
            <w:noProof/>
            <w:webHidden/>
            <w:sz w:val="24"/>
          </w:rPr>
          <w:t>14</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2077A7">
          <w:rPr>
            <w:noProof/>
            <w:webHidden/>
            <w:sz w:val="24"/>
          </w:rPr>
          <w:t>15</w:t>
        </w:r>
        <w:r w:rsidR="005900E5" w:rsidRPr="00066F4F">
          <w:rPr>
            <w:noProof/>
            <w:webHidden/>
            <w:sz w:val="24"/>
          </w:rPr>
          <w:fldChar w:fldCharType="end"/>
        </w:r>
      </w:hyperlink>
    </w:p>
    <w:p w:rsidR="005900E5" w:rsidRPr="00066F4F" w:rsidRDefault="005C61CE"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2077A7">
          <w:rPr>
            <w:noProof/>
            <w:webHidden/>
            <w:sz w:val="24"/>
          </w:rPr>
          <w:t>16</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2077A7">
          <w:rPr>
            <w:noProof/>
            <w:webHidden/>
            <w:sz w:val="24"/>
          </w:rPr>
          <w:t>16</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2077A7">
          <w:rPr>
            <w:noProof/>
            <w:webHidden/>
            <w:sz w:val="24"/>
          </w:rPr>
          <w:t>17</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2077A7">
          <w:rPr>
            <w:noProof/>
            <w:webHidden/>
            <w:sz w:val="24"/>
          </w:rPr>
          <w:t>18</w:t>
        </w:r>
        <w:r w:rsidR="005900E5" w:rsidRPr="00066F4F">
          <w:rPr>
            <w:noProof/>
            <w:webHidden/>
            <w:sz w:val="24"/>
          </w:rPr>
          <w:fldChar w:fldCharType="end"/>
        </w:r>
      </w:hyperlink>
    </w:p>
    <w:p w:rsidR="005900E5" w:rsidRPr="00066F4F" w:rsidRDefault="005C61CE"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2077A7">
          <w:rPr>
            <w:noProof/>
            <w:webHidden/>
            <w:sz w:val="24"/>
          </w:rPr>
          <w:t>19</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DD5883" w:rsidRDefault="005900E5" w:rsidP="00DD5883">
      <w:pPr>
        <w:ind w:firstLineChars="200" w:firstLine="560"/>
        <w:rPr>
          <w:rFonts w:ascii="仿宋_GB2312" w:eastAsia="仿宋_GB2312" w:hAnsi="仿宋_GB2312" w:hint="eastAsia"/>
          <w:sz w:val="28"/>
        </w:rPr>
      </w:pPr>
      <w:bookmarkStart w:id="4" w:name="_GoBack"/>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CC6688">
        <w:rPr>
          <w:rFonts w:ascii="仿宋_GB2312" w:eastAsia="仿宋_GB2312" w:hAnsi="仿宋_GB2312" w:hint="eastAsia"/>
          <w:sz w:val="28"/>
          <w:u w:val="single"/>
        </w:rPr>
        <w:t>金融</w:t>
      </w:r>
      <w:proofErr w:type="gramStart"/>
      <w:r w:rsidR="00CC6688">
        <w:rPr>
          <w:rFonts w:ascii="仿宋_GB2312" w:eastAsia="仿宋_GB2312" w:hAnsi="仿宋_GB2312" w:hint="eastAsia"/>
          <w:sz w:val="28"/>
          <w:u w:val="single"/>
        </w:rPr>
        <w:t>衍生品实训</w:t>
      </w:r>
      <w:proofErr w:type="gramEnd"/>
      <w:r w:rsidR="00CC6688">
        <w:rPr>
          <w:rFonts w:ascii="仿宋_GB2312" w:eastAsia="仿宋_GB2312" w:hAnsi="仿宋_GB2312" w:hint="eastAsia"/>
          <w:sz w:val="28"/>
          <w:u w:val="single"/>
        </w:rPr>
        <w:t>室通用</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w:t>
      </w:r>
      <w:bookmarkStart w:id="5" w:name="_Toc373485986"/>
      <w:bookmarkStart w:id="6" w:name="_Toc373486299"/>
      <w:bookmarkStart w:id="7" w:name="_Toc373500452"/>
      <w:r w:rsidR="00DD5883" w:rsidRPr="00DD5883">
        <w:rPr>
          <w:rFonts w:ascii="仿宋_GB2312" w:eastAsia="仿宋_GB2312" w:hAnsi="仿宋_GB2312" w:hint="eastAsia"/>
          <w:sz w:val="28"/>
        </w:rPr>
        <w:t>我中心将通过公开招标的方式选定投标单位，</w:t>
      </w:r>
      <w:proofErr w:type="gramStart"/>
      <w:r w:rsidR="00DD5883" w:rsidRPr="00DD5883">
        <w:rPr>
          <w:rFonts w:ascii="仿宋_GB2312" w:eastAsia="仿宋_GB2312" w:hAnsi="仿宋_GB2312" w:hint="eastAsia"/>
          <w:sz w:val="28"/>
        </w:rPr>
        <w:t>现邀请</w:t>
      </w:r>
      <w:proofErr w:type="gramEnd"/>
      <w:r w:rsidR="00DD5883" w:rsidRPr="00DD5883">
        <w:rPr>
          <w:rFonts w:ascii="仿宋_GB2312" w:eastAsia="仿宋_GB2312" w:hAnsi="仿宋_GB2312" w:hint="eastAsia"/>
          <w:sz w:val="28"/>
        </w:rPr>
        <w:t>贵公司参加该项目的投标。</w:t>
      </w:r>
    </w:p>
    <w:p w:rsidR="005900E5" w:rsidRPr="00465962" w:rsidRDefault="005900E5" w:rsidP="00DD5883">
      <w:pPr>
        <w:ind w:firstLineChars="200" w:firstLine="560"/>
        <w:rPr>
          <w:rFonts w:ascii="仿宋_GB2312" w:eastAsia="仿宋_GB2312" w:hAnsi="仿宋_GB2312"/>
          <w:sz w:val="28"/>
        </w:rPr>
      </w:pPr>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5C33AC" w:rsidRPr="005C33AC">
        <w:rPr>
          <w:rFonts w:ascii="仿宋_GB2312" w:eastAsia="仿宋_GB2312" w:hAnsi="仿宋_GB2312" w:hint="eastAsia"/>
          <w:sz w:val="28"/>
          <w:u w:val="single"/>
        </w:rPr>
        <w:t>金融</w:t>
      </w:r>
      <w:proofErr w:type="gramStart"/>
      <w:r w:rsidR="005C33AC" w:rsidRPr="005C33AC">
        <w:rPr>
          <w:rFonts w:ascii="仿宋_GB2312" w:eastAsia="仿宋_GB2312" w:hAnsi="仿宋_GB2312" w:hint="eastAsia"/>
          <w:sz w:val="28"/>
          <w:u w:val="single"/>
        </w:rPr>
        <w:t>衍生品实训</w:t>
      </w:r>
      <w:proofErr w:type="gramEnd"/>
      <w:r w:rsidR="005C33AC" w:rsidRPr="005C33AC">
        <w:rPr>
          <w:rFonts w:ascii="仿宋_GB2312" w:eastAsia="仿宋_GB2312" w:hAnsi="仿宋_GB2312" w:hint="eastAsia"/>
          <w:sz w:val="28"/>
          <w:u w:val="single"/>
        </w:rPr>
        <w:t>室通用设备采购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CA2192">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D3585A">
        <w:rPr>
          <w:rFonts w:ascii="仿宋_GB2312" w:eastAsia="仿宋_GB2312" w:hAnsi="仿宋_GB2312" w:hint="eastAsia"/>
          <w:b/>
          <w:bCs/>
          <w:sz w:val="28"/>
        </w:rPr>
        <w:t>13</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东莞市麻涌镇沿江西一路7号</w:t>
      </w:r>
      <w:r w:rsidR="00D5228E">
        <w:rPr>
          <w:rFonts w:ascii="仿宋_GB2312" w:eastAsia="仿宋_GB2312" w:hAnsi="仿宋_GB2312" w:hint="eastAsia"/>
          <w:sz w:val="28"/>
        </w:rPr>
        <w:t>(523133)</w:t>
      </w:r>
    </w:p>
    <w:bookmarkEnd w:id="4"/>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投标人需按照招标文件修改文件的要求参与投标，投标人没有作出实质性响应可能导致其投标被拒绝。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投标报价应包含所有必要设备、随机零配件、标配工具、</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65132D" w:rsidRPr="000057E8" w:rsidRDefault="0065132D" w:rsidP="0065132D">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实验室地点：</w:t>
      </w:r>
      <w:r w:rsidRPr="00654034">
        <w:rPr>
          <w:rFonts w:ascii="仿宋" w:eastAsia="仿宋" w:hAnsi="仿宋" w:cs="宋体" w:hint="eastAsia"/>
          <w:color w:val="000000"/>
          <w:kern w:val="0"/>
          <w:sz w:val="24"/>
        </w:rPr>
        <w:t>东莞校区实验2号楼5楼A</w:t>
      </w:r>
      <w:r>
        <w:rPr>
          <w:rFonts w:ascii="仿宋" w:eastAsia="仿宋" w:hAnsi="仿宋" w:cs="宋体" w:hint="eastAsia"/>
          <w:color w:val="000000"/>
          <w:kern w:val="0"/>
          <w:sz w:val="24"/>
        </w:rPr>
        <w:t>506</w:t>
      </w:r>
      <w:r w:rsidRPr="00654034">
        <w:rPr>
          <w:rFonts w:ascii="仿宋" w:eastAsia="仿宋" w:hAnsi="仿宋" w:cs="宋体" w:hint="eastAsia"/>
          <w:color w:val="000000"/>
          <w:kern w:val="0"/>
          <w:sz w:val="24"/>
        </w:rPr>
        <w:t>。</w:t>
      </w:r>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杜碧莹，020-87211733,13560029131</w:t>
      </w:r>
      <w:r w:rsidRPr="000057E8">
        <w:rPr>
          <w:rFonts w:ascii="仿宋" w:eastAsia="仿宋" w:hAnsi="仿宋" w:cs="宋体" w:hint="eastAsia"/>
          <w:color w:val="000000"/>
          <w:kern w:val="0"/>
          <w:sz w:val="24"/>
        </w:rPr>
        <w:t>）</w:t>
      </w:r>
    </w:p>
    <w:p w:rsidR="00063730" w:rsidRPr="0065132D" w:rsidRDefault="00063730" w:rsidP="00063730">
      <w:pPr>
        <w:jc w:val="left"/>
        <w:rPr>
          <w:rFonts w:ascii="仿宋" w:eastAsia="仿宋" w:hAnsi="仿宋" w:cs="宋体"/>
          <w:color w:val="000000"/>
          <w:kern w:val="0"/>
          <w:sz w:val="24"/>
        </w:rPr>
      </w:pPr>
    </w:p>
    <w:p w:rsidR="00C01ABD"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C01ABD" w:rsidRDefault="00A11E42" w:rsidP="00A11E42">
      <w:pPr>
        <w:jc w:val="center"/>
        <w:rPr>
          <w:rFonts w:ascii="黑体" w:eastAsia="黑体" w:hAnsi="黑体"/>
          <w:sz w:val="24"/>
        </w:rPr>
      </w:pPr>
      <w:r>
        <w:rPr>
          <w:b/>
          <w:bCs/>
          <w:noProof/>
          <w:sz w:val="30"/>
        </w:rPr>
        <w:drawing>
          <wp:inline distT="0" distB="0" distL="0" distR="0">
            <wp:extent cx="5150495" cy="7029450"/>
            <wp:effectExtent l="0" t="0" r="0" b="0"/>
            <wp:docPr id="502" name="图片 502" descr="中山大学新华学院——金融证券实训室平面布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中山大学新华学院——金融证券实训室平面布置图"/>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0495" cy="7029450"/>
                    </a:xfrm>
                    <a:prstGeom prst="rect">
                      <a:avLst/>
                    </a:prstGeom>
                    <a:noFill/>
                    <a:ln>
                      <a:noFill/>
                    </a:ln>
                  </pic:spPr>
                </pic:pic>
              </a:graphicData>
            </a:graphic>
          </wp:inline>
        </w:drawing>
      </w:r>
    </w:p>
    <w:p w:rsidR="001A2F7E" w:rsidRDefault="001A2F7E" w:rsidP="00A92484">
      <w:pPr>
        <w:jc w:val="left"/>
        <w:rPr>
          <w:rFonts w:ascii="仿宋" w:eastAsia="仿宋" w:hAnsi="仿宋" w:cs="宋体"/>
          <w:b/>
          <w:color w:val="000000"/>
          <w:kern w:val="0"/>
          <w:sz w:val="28"/>
          <w:szCs w:val="28"/>
        </w:rPr>
      </w:pPr>
    </w:p>
    <w:p w:rsidR="00A92484"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二、</w:t>
      </w:r>
      <w:r w:rsidR="00A92484" w:rsidRPr="00A92484">
        <w:rPr>
          <w:rFonts w:ascii="仿宋" w:eastAsia="仿宋" w:hAnsi="仿宋" w:cs="宋体" w:hint="eastAsia"/>
          <w:b/>
          <w:color w:val="000000"/>
          <w:kern w:val="0"/>
          <w:sz w:val="28"/>
          <w:szCs w:val="28"/>
        </w:rPr>
        <w:t>设备清单</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390"/>
        <w:gridCol w:w="5839"/>
        <w:gridCol w:w="709"/>
        <w:gridCol w:w="708"/>
        <w:gridCol w:w="1014"/>
      </w:tblGrid>
      <w:tr w:rsidR="003A561C" w:rsidRPr="003A561C" w:rsidTr="004D5DA9">
        <w:trPr>
          <w:trHeight w:val="288"/>
          <w:tblHeader/>
          <w:jc w:val="center"/>
        </w:trPr>
        <w:tc>
          <w:tcPr>
            <w:tcW w:w="657" w:type="dxa"/>
            <w:vAlign w:val="center"/>
          </w:tcPr>
          <w:p w:rsidR="003A561C" w:rsidRPr="003A561C" w:rsidRDefault="003A561C" w:rsidP="003A561C">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序号</w:t>
            </w:r>
          </w:p>
        </w:tc>
        <w:tc>
          <w:tcPr>
            <w:tcW w:w="1390" w:type="dxa"/>
            <w:vAlign w:val="center"/>
          </w:tcPr>
          <w:p w:rsidR="003A561C" w:rsidRPr="003A561C" w:rsidRDefault="003A561C" w:rsidP="003A561C">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名称</w:t>
            </w:r>
          </w:p>
        </w:tc>
        <w:tc>
          <w:tcPr>
            <w:tcW w:w="5839" w:type="dxa"/>
            <w:vAlign w:val="center"/>
          </w:tcPr>
          <w:p w:rsidR="003A561C" w:rsidRPr="003A561C" w:rsidRDefault="003A561C" w:rsidP="003A561C">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规格型号</w:t>
            </w:r>
          </w:p>
        </w:tc>
        <w:tc>
          <w:tcPr>
            <w:tcW w:w="709" w:type="dxa"/>
            <w:vAlign w:val="center"/>
          </w:tcPr>
          <w:p w:rsidR="003A561C" w:rsidRPr="003A561C" w:rsidRDefault="003A561C" w:rsidP="003A561C">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单位</w:t>
            </w:r>
          </w:p>
        </w:tc>
        <w:tc>
          <w:tcPr>
            <w:tcW w:w="708" w:type="dxa"/>
            <w:vAlign w:val="center"/>
          </w:tcPr>
          <w:p w:rsidR="003A561C" w:rsidRPr="003A561C" w:rsidRDefault="003A561C" w:rsidP="003A561C">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数量</w:t>
            </w:r>
          </w:p>
        </w:tc>
        <w:tc>
          <w:tcPr>
            <w:tcW w:w="1014" w:type="dxa"/>
            <w:vAlign w:val="center"/>
          </w:tcPr>
          <w:p w:rsidR="003A561C" w:rsidRPr="003A561C" w:rsidRDefault="003A561C" w:rsidP="0000699D">
            <w:pPr>
              <w:widowControl/>
              <w:ind w:leftChars="-119" w:left="-250" w:rightChars="-181" w:right="-380" w:firstLineChars="113" w:firstLine="237"/>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备注</w:t>
            </w:r>
          </w:p>
        </w:tc>
      </w:tr>
      <w:tr w:rsidR="003A561C" w:rsidRPr="003A561C" w:rsidTr="004D5DA9">
        <w:trPr>
          <w:trHeight w:val="111"/>
          <w:jc w:val="center"/>
        </w:trPr>
        <w:tc>
          <w:tcPr>
            <w:tcW w:w="657" w:type="dxa"/>
            <w:vAlign w:val="center"/>
          </w:tcPr>
          <w:p w:rsidR="003A561C" w:rsidRPr="003A561C" w:rsidRDefault="003A561C" w:rsidP="004D5DA9">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投影机</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液晶投影 </w:t>
            </w:r>
            <w:r w:rsidRPr="003A561C">
              <w:rPr>
                <w:rFonts w:asciiTheme="minorEastAsia" w:eastAsiaTheme="minorEastAsia" w:hAnsiTheme="minorEastAsia" w:cs="宋体" w:hint="eastAsia"/>
                <w:color w:val="000000"/>
                <w:kern w:val="0"/>
                <w:szCs w:val="21"/>
              </w:rPr>
              <w:br/>
              <w:t>亮度：4000-5000流明（ISO2118标准）</w:t>
            </w:r>
            <w:r w:rsidRPr="003A561C">
              <w:rPr>
                <w:rFonts w:asciiTheme="minorEastAsia" w:eastAsiaTheme="minorEastAsia" w:hAnsiTheme="minorEastAsia" w:cs="宋体" w:hint="eastAsia"/>
                <w:color w:val="000000"/>
                <w:kern w:val="0"/>
                <w:szCs w:val="21"/>
              </w:rPr>
              <w:br/>
              <w:t>标准分辨率：1024×768</w:t>
            </w:r>
            <w:r w:rsidRPr="003A561C">
              <w:rPr>
                <w:rFonts w:asciiTheme="minorEastAsia" w:eastAsiaTheme="minorEastAsia" w:hAnsiTheme="minorEastAsia" w:cs="宋体" w:hint="eastAsia"/>
                <w:color w:val="000000"/>
                <w:kern w:val="0"/>
                <w:szCs w:val="21"/>
              </w:rPr>
              <w:br/>
              <w:t>对比度：2600：1-3000:1</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含：吊架，线材，运输，安装，调试。</w:t>
            </w:r>
          </w:p>
        </w:tc>
        <w:tc>
          <w:tcPr>
            <w:tcW w:w="709"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台</w:t>
            </w:r>
          </w:p>
        </w:tc>
        <w:tc>
          <w:tcPr>
            <w:tcW w:w="708"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2</w:t>
            </w:r>
          </w:p>
        </w:tc>
        <w:tc>
          <w:tcPr>
            <w:tcW w:w="1014"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179"/>
          <w:jc w:val="center"/>
        </w:trPr>
        <w:tc>
          <w:tcPr>
            <w:tcW w:w="657" w:type="dxa"/>
            <w:vAlign w:val="center"/>
          </w:tcPr>
          <w:p w:rsidR="003A561C" w:rsidRPr="003A561C" w:rsidRDefault="003A561C" w:rsidP="004D5DA9">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2</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幕布</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幕布：玻珠电动，120英寸</w:t>
            </w:r>
            <w:r w:rsidRPr="003A561C">
              <w:rPr>
                <w:rFonts w:asciiTheme="minorEastAsia" w:eastAsiaTheme="minorEastAsia" w:hAnsiTheme="minorEastAsia" w:cs="宋体" w:hint="eastAsia"/>
                <w:color w:val="000000"/>
                <w:kern w:val="0"/>
                <w:szCs w:val="21"/>
              </w:rPr>
              <w:br/>
              <w:t>幕布比例：4:3</w:t>
            </w:r>
            <w:r w:rsidRPr="003A561C">
              <w:rPr>
                <w:rFonts w:asciiTheme="minorEastAsia" w:eastAsiaTheme="minorEastAsia" w:hAnsiTheme="minorEastAsia" w:cs="宋体" w:hint="eastAsia"/>
                <w:color w:val="000000"/>
                <w:kern w:val="0"/>
                <w:szCs w:val="21"/>
              </w:rPr>
              <w:br/>
              <w:t>增益：2.5倍</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包安装</w:t>
            </w:r>
          </w:p>
        </w:tc>
        <w:tc>
          <w:tcPr>
            <w:tcW w:w="709"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套</w:t>
            </w:r>
          </w:p>
        </w:tc>
        <w:tc>
          <w:tcPr>
            <w:tcW w:w="708"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2</w:t>
            </w:r>
          </w:p>
        </w:tc>
        <w:tc>
          <w:tcPr>
            <w:tcW w:w="1014"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1675"/>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合并式功放</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额定功率：2×150W/8Ω；最大功率：2×300W/8Ω ；频率响应：线路输入 20Hz-20KHz、话筒 60Hz-14KHz；线路音调控制：高音 10KHz±12dB、低音 100Hz±12dB；话筒音调控制：高音 10KHz±12dB 、低音 100Hz±12dB；话筒幻像供电电源：6V直流电源；额定输入电平：话筒 15mV（非平衡）、线路 200mV；额定输出电平：线路 0.775V；失真度 ≤0.5%；信噪比：≥80dB(A计权)</w:t>
            </w:r>
          </w:p>
        </w:tc>
        <w:tc>
          <w:tcPr>
            <w:tcW w:w="709"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台</w:t>
            </w:r>
          </w:p>
        </w:tc>
        <w:tc>
          <w:tcPr>
            <w:tcW w:w="708"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938"/>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音箱</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额定功率：80W；最大功率：160W；额定阻抗：8Ω；频率响应：60Hz-18kHz；驱动器：1个8寸长冲程低音驱动器、2个3寸前纸盆高音；灵敏度：90dB/1W/1M；最大声压级：105dB；分频器：1.8KHz；箱体型式：倒相式；箱体及外饰：木质（黑色）箱体，钢网；安装：顶部10CM孔距2个M8吊挂</w:t>
            </w:r>
          </w:p>
        </w:tc>
        <w:tc>
          <w:tcPr>
            <w:tcW w:w="709"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对</w:t>
            </w:r>
          </w:p>
        </w:tc>
        <w:tc>
          <w:tcPr>
            <w:tcW w:w="708"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1563"/>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手持式无线话筒</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接收机：调制方式：FM；频道组数：双通道；载波频段：UHF 740～820MHz；灵敏度：在偏移度等于25KHz，输入6dBμV时，S/N&gt;60dB ；频带宽度：15MHz；最大偏移度：±45KHz(具压缩扩展及自动音量限制电路) ；综合S/N比：&gt; 95 dB；综合T.H.D.：&lt;1.1% @ 1K；综合频率响应：50Hz-18KHz±3dB；最大输出电压： -20dBV/100Ω；输出插座：XLR平衡式及φ6.3不平衡式插座；电源供应：0.5A, 12～15VDC；发射话筒：载波频段：UHF 740～820MHz；载波功率：3 </w:t>
            </w:r>
            <w:proofErr w:type="spellStart"/>
            <w:r w:rsidRPr="003A561C">
              <w:rPr>
                <w:rFonts w:asciiTheme="minorEastAsia" w:eastAsiaTheme="minorEastAsia" w:hAnsiTheme="minorEastAsia" w:cs="宋体" w:hint="eastAsia"/>
                <w:color w:val="000000"/>
                <w:kern w:val="0"/>
                <w:szCs w:val="21"/>
              </w:rPr>
              <w:t>mW</w:t>
            </w:r>
            <w:proofErr w:type="spellEnd"/>
            <w:r w:rsidRPr="003A561C">
              <w:rPr>
                <w:rFonts w:asciiTheme="minorEastAsia" w:eastAsiaTheme="minorEastAsia" w:hAnsiTheme="minorEastAsia" w:cs="宋体" w:hint="eastAsia"/>
                <w:color w:val="000000"/>
                <w:kern w:val="0"/>
                <w:szCs w:val="21"/>
              </w:rPr>
              <w:t>；谐波辐射：&lt;-63dBm ；最大偏移度：±45KHz；话筒电源：1.5v×2电池；电流消耗：&lt;28 mA ；。</w:t>
            </w:r>
          </w:p>
        </w:tc>
        <w:tc>
          <w:tcPr>
            <w:tcW w:w="709"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套</w:t>
            </w:r>
          </w:p>
        </w:tc>
        <w:tc>
          <w:tcPr>
            <w:tcW w:w="708"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836"/>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手持式有线话筒 </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类型：动圈式；频率响应：60Hz-14KHz；指向特性：心型指向；灵敏度：-67dB±3dB(1V/Pa)；输出阻抗：600 Ω± 30%(at1KHz)；输出连接头：XLRM 卡侬公头；开关：磁控锁定式；材质及表面处理：压铸金属，浅蓝瓷漆；连线：5M专用电缆，带6.3mm标准插头</w:t>
            </w:r>
          </w:p>
        </w:tc>
        <w:tc>
          <w:tcPr>
            <w:tcW w:w="709"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个</w:t>
            </w:r>
          </w:p>
        </w:tc>
        <w:tc>
          <w:tcPr>
            <w:tcW w:w="708"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754"/>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多媒体讲台</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材质：镀锌板</w:t>
            </w:r>
            <w:r w:rsidRPr="003A561C">
              <w:rPr>
                <w:rFonts w:asciiTheme="minorEastAsia" w:eastAsiaTheme="minorEastAsia" w:hAnsiTheme="minorEastAsia" w:cs="宋体" w:hint="eastAsia"/>
                <w:color w:val="000000"/>
                <w:kern w:val="0"/>
                <w:szCs w:val="21"/>
              </w:rPr>
              <w:br/>
              <w:t>规格：（长*宽*高）2000*600*850，或根据现场实际情况定制</w:t>
            </w:r>
            <w:r w:rsidRPr="003A561C">
              <w:rPr>
                <w:rFonts w:asciiTheme="minorEastAsia" w:eastAsiaTheme="minorEastAsia" w:hAnsiTheme="minorEastAsia" w:cs="宋体" w:hint="eastAsia"/>
                <w:color w:val="000000"/>
                <w:kern w:val="0"/>
                <w:szCs w:val="21"/>
              </w:rPr>
              <w:br/>
              <w:t>配置：主机位，键盘架，中控位，展台位</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张</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2400"/>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8</w:t>
            </w:r>
          </w:p>
        </w:tc>
        <w:tc>
          <w:tcPr>
            <w:tcW w:w="1390" w:type="dxa"/>
            <w:vAlign w:val="center"/>
          </w:tcPr>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教师电脑</w:t>
            </w:r>
          </w:p>
        </w:tc>
        <w:tc>
          <w:tcPr>
            <w:tcW w:w="5839" w:type="dxa"/>
            <w:vAlign w:val="center"/>
          </w:tcPr>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CPU: 酷睿4代 4核 i7 (3.2G 6M ,84W ,Intel HD)</w:t>
            </w:r>
            <w:r w:rsidRPr="003A561C">
              <w:rPr>
                <w:rFonts w:asciiTheme="minorEastAsia" w:eastAsiaTheme="minorEastAsia" w:hAnsiTheme="minorEastAsia" w:cs="宋体" w:hint="eastAsia"/>
                <w:kern w:val="0"/>
                <w:szCs w:val="21"/>
              </w:rPr>
              <w:br/>
              <w:t>内存: DDR3  4G 台式机内存</w:t>
            </w:r>
            <w:r w:rsidRPr="003A561C">
              <w:rPr>
                <w:rFonts w:asciiTheme="minorEastAsia" w:eastAsiaTheme="minorEastAsia" w:hAnsiTheme="minorEastAsia" w:cs="宋体" w:hint="eastAsia"/>
                <w:kern w:val="0"/>
                <w:szCs w:val="21"/>
              </w:rPr>
              <w:br/>
              <w:t>硬盘: 500G台式机硬盘（7200RPM SATA III 4 drive）</w:t>
            </w:r>
            <w:r w:rsidRPr="003A561C">
              <w:rPr>
                <w:rFonts w:asciiTheme="minorEastAsia" w:eastAsiaTheme="minorEastAsia" w:hAnsiTheme="minorEastAsia" w:cs="宋体" w:hint="eastAsia"/>
                <w:kern w:val="0"/>
                <w:szCs w:val="21"/>
              </w:rPr>
              <w:br/>
              <w:t xml:space="preserve">光驱: DVDRW 16X </w:t>
            </w:r>
            <w:r w:rsidRPr="003A561C">
              <w:rPr>
                <w:rFonts w:asciiTheme="minorEastAsia" w:eastAsiaTheme="minorEastAsia" w:hAnsiTheme="minorEastAsia" w:cs="宋体" w:hint="eastAsia"/>
                <w:kern w:val="0"/>
                <w:szCs w:val="21"/>
              </w:rPr>
              <w:br/>
              <w:t>主板Q87集成VGADVI接口</w:t>
            </w:r>
            <w:r w:rsidRPr="003A561C">
              <w:rPr>
                <w:rFonts w:asciiTheme="minorEastAsia" w:eastAsiaTheme="minorEastAsia" w:hAnsiTheme="minorEastAsia" w:cs="宋体" w:hint="eastAsia"/>
                <w:kern w:val="0"/>
                <w:szCs w:val="21"/>
              </w:rPr>
              <w:br/>
              <w:t>电源:300W  标准键盘，光电鼠标</w:t>
            </w:r>
            <w:r w:rsidRPr="003A561C">
              <w:rPr>
                <w:rFonts w:asciiTheme="minorEastAsia" w:eastAsiaTheme="minorEastAsia" w:hAnsiTheme="minorEastAsia" w:cs="宋体" w:hint="eastAsia"/>
                <w:kern w:val="0"/>
                <w:szCs w:val="21"/>
              </w:rPr>
              <w:br/>
              <w:t>显示器: 23英寸液晶 (LED)</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kern w:val="0"/>
                <w:szCs w:val="21"/>
              </w:rPr>
              <w:t>带微软操作系统和office</w:t>
            </w:r>
            <w:r w:rsidRPr="003A561C">
              <w:rPr>
                <w:rFonts w:asciiTheme="minorEastAsia" w:eastAsiaTheme="minorEastAsia" w:hAnsiTheme="minorEastAsia" w:cs="宋体" w:hint="eastAsia"/>
                <w:kern w:val="0"/>
                <w:szCs w:val="21"/>
              </w:rPr>
              <w:t>软件</w:t>
            </w:r>
            <w:r w:rsidRPr="003A561C">
              <w:rPr>
                <w:rFonts w:asciiTheme="minorEastAsia" w:eastAsiaTheme="minorEastAsia" w:hAnsiTheme="minorEastAsia" w:cs="宋体"/>
                <w:kern w:val="0"/>
                <w:szCs w:val="21"/>
              </w:rPr>
              <w:t xml:space="preserve">, </w:t>
            </w:r>
            <w:r w:rsidRPr="003A561C">
              <w:rPr>
                <w:rFonts w:asciiTheme="minorEastAsia" w:eastAsiaTheme="minorEastAsia" w:hAnsiTheme="minorEastAsia" w:cs="宋体" w:hint="eastAsia"/>
                <w:kern w:val="0"/>
                <w:szCs w:val="21"/>
              </w:rPr>
              <w:t>不低于上述配置，并提供产品彩页宣传资料。</w:t>
            </w:r>
          </w:p>
        </w:tc>
        <w:tc>
          <w:tcPr>
            <w:tcW w:w="709" w:type="dxa"/>
            <w:vAlign w:val="center"/>
          </w:tcPr>
          <w:p w:rsidR="003A561C" w:rsidRPr="003A561C" w:rsidRDefault="003A561C" w:rsidP="0000699D">
            <w:pPr>
              <w:widowControl/>
              <w:jc w:val="center"/>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台</w:t>
            </w:r>
          </w:p>
        </w:tc>
        <w:tc>
          <w:tcPr>
            <w:tcW w:w="708" w:type="dxa"/>
            <w:vAlign w:val="center"/>
          </w:tcPr>
          <w:p w:rsidR="003A561C" w:rsidRPr="003A561C" w:rsidRDefault="003A561C" w:rsidP="0000699D">
            <w:pPr>
              <w:widowControl/>
              <w:jc w:val="center"/>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1</w:t>
            </w:r>
          </w:p>
        </w:tc>
        <w:tc>
          <w:tcPr>
            <w:tcW w:w="1014" w:type="dxa"/>
            <w:vAlign w:val="center"/>
          </w:tcPr>
          <w:p w:rsidR="003A561C" w:rsidRPr="003A561C" w:rsidRDefault="003A561C" w:rsidP="00821E88">
            <w:pPr>
              <w:widowControl/>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2264"/>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390" w:type="dxa"/>
            <w:vAlign w:val="center"/>
          </w:tcPr>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学生电脑</w:t>
            </w:r>
          </w:p>
        </w:tc>
        <w:tc>
          <w:tcPr>
            <w:tcW w:w="5839" w:type="dxa"/>
            <w:vAlign w:val="center"/>
          </w:tcPr>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品牌电脑</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1.CPU Intel 酷睿 i54609,</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2,主 板:等于或优于因特尔 H67芯 片组。 集成 VGA和 DVI接口，支持双屏显示；</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3,内存 :≥ 4G DDR31333/1600MHz,最大支持 16G,≥ 2个DIMM插槽 ;</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4,硬盘： 500G SATA 7200转；</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5.集成显卡、声卡、千兆网卡；</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6.扩展插槽：&gt;=1个PCI2.3；1个PCI Express x1;</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7.键盘光电鼠标：USB接口</w:t>
            </w:r>
          </w:p>
          <w:p w:rsidR="003A561C" w:rsidRPr="003A561C" w:rsidRDefault="003A561C" w:rsidP="003A561C">
            <w:pPr>
              <w:widowControl/>
              <w:jc w:val="left"/>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8.</w:t>
            </w:r>
            <w:r w:rsidRPr="003A561C">
              <w:rPr>
                <w:rFonts w:asciiTheme="minorEastAsia" w:eastAsiaTheme="minorEastAsia" w:hAnsiTheme="minorEastAsia" w:cs="宋体"/>
                <w:kern w:val="0"/>
                <w:szCs w:val="21"/>
              </w:rPr>
              <w:t>带微软操作系统和office</w:t>
            </w:r>
            <w:r w:rsidRPr="003A561C">
              <w:rPr>
                <w:rFonts w:asciiTheme="minorEastAsia" w:eastAsiaTheme="minorEastAsia" w:hAnsiTheme="minorEastAsia" w:cs="宋体" w:hint="eastAsia"/>
                <w:kern w:val="0"/>
                <w:szCs w:val="21"/>
              </w:rPr>
              <w:t>软件</w:t>
            </w:r>
            <w:r w:rsidRPr="003A561C">
              <w:rPr>
                <w:rFonts w:asciiTheme="minorEastAsia" w:eastAsiaTheme="minorEastAsia" w:hAnsiTheme="minorEastAsia" w:cs="宋体"/>
                <w:kern w:val="0"/>
                <w:szCs w:val="21"/>
              </w:rPr>
              <w:t xml:space="preserve">, </w:t>
            </w:r>
            <w:r w:rsidRPr="003A561C">
              <w:rPr>
                <w:rFonts w:asciiTheme="minorEastAsia" w:eastAsiaTheme="minorEastAsia" w:hAnsiTheme="minorEastAsia" w:cs="宋体" w:hint="eastAsia"/>
                <w:kern w:val="0"/>
                <w:szCs w:val="21"/>
              </w:rPr>
              <w:t>不低于上述配置，并提供产品彩页宣传资料。</w:t>
            </w:r>
          </w:p>
        </w:tc>
        <w:tc>
          <w:tcPr>
            <w:tcW w:w="709" w:type="dxa"/>
            <w:vAlign w:val="center"/>
          </w:tcPr>
          <w:p w:rsidR="003A561C" w:rsidRPr="003A561C" w:rsidRDefault="003A561C" w:rsidP="0000699D">
            <w:pPr>
              <w:widowControl/>
              <w:jc w:val="center"/>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套</w:t>
            </w:r>
          </w:p>
        </w:tc>
        <w:tc>
          <w:tcPr>
            <w:tcW w:w="708" w:type="dxa"/>
            <w:vAlign w:val="center"/>
          </w:tcPr>
          <w:p w:rsidR="003A561C" w:rsidRPr="003A561C" w:rsidRDefault="003A561C" w:rsidP="0000699D">
            <w:pPr>
              <w:widowControl/>
              <w:jc w:val="center"/>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100</w:t>
            </w:r>
          </w:p>
        </w:tc>
        <w:tc>
          <w:tcPr>
            <w:tcW w:w="1014" w:type="dxa"/>
            <w:vAlign w:val="center"/>
          </w:tcPr>
          <w:p w:rsidR="003A561C" w:rsidRPr="003A561C" w:rsidRDefault="003A561C" w:rsidP="00821E88">
            <w:pPr>
              <w:widowControl/>
              <w:rPr>
                <w:rFonts w:asciiTheme="minorEastAsia" w:eastAsiaTheme="minorEastAsia" w:hAnsiTheme="minorEastAsia" w:cs="宋体"/>
                <w:kern w:val="0"/>
                <w:szCs w:val="21"/>
              </w:rPr>
            </w:pPr>
            <w:r w:rsidRPr="003A561C">
              <w:rPr>
                <w:rFonts w:asciiTheme="minorEastAsia" w:eastAsiaTheme="minorEastAsia" w:hAnsiTheme="minorEastAsia" w:cs="宋体" w:hint="eastAsia"/>
                <w:kern w:val="0"/>
                <w:szCs w:val="21"/>
              </w:rPr>
              <w:t xml:space="preserve">　</w:t>
            </w:r>
          </w:p>
        </w:tc>
      </w:tr>
      <w:tr w:rsidR="003A561C" w:rsidRPr="003A561C" w:rsidTr="004D5DA9">
        <w:trPr>
          <w:trHeight w:val="2264"/>
          <w:jc w:val="center"/>
        </w:trPr>
        <w:tc>
          <w:tcPr>
            <w:tcW w:w="657" w:type="dxa"/>
            <w:vAlign w:val="center"/>
          </w:tcPr>
          <w:p w:rsidR="003A561C" w:rsidRPr="003A561C" w:rsidRDefault="003A561C" w:rsidP="004D5DA9">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r w:rsidR="00B33EA7">
              <w:rPr>
                <w:rFonts w:asciiTheme="minorEastAsia" w:eastAsiaTheme="minorEastAsia" w:hAnsiTheme="minorEastAsia" w:cs="宋体" w:hint="eastAsia"/>
                <w:color w:val="000000"/>
                <w:kern w:val="0"/>
                <w:szCs w:val="21"/>
              </w:rPr>
              <w:t>0</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服务器</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英特尔® 至强® 处理器 E5-2620 (2.0GHz,15M 缓存, 7.2GT/s QPI, 无Turbo, 6C, 95W)</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英特尔®C600系列芯片组</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16GB RDIMM, 1333 MHz, 低电压, 单列, x4 带宽，最高768</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3*1TB 7.2K RPM SAS 6Gbps 2.5英寸热插拔硬盘，最大可以上8 个热插拔3.5”SAS/SATA 或16 个热插拔2.5”SAS/SATA/SSD</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 个4 端口Broadcom 5720 千兆网卡或,</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8X 薄型 DVDRW光驱</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19英寸 LED背光宽屏显示器</w:t>
            </w:r>
          </w:p>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标准键盘，光电鼠标</w:t>
            </w:r>
          </w:p>
        </w:tc>
        <w:tc>
          <w:tcPr>
            <w:tcW w:w="709" w:type="dxa"/>
            <w:vAlign w:val="center"/>
          </w:tcPr>
          <w:p w:rsidR="003A561C" w:rsidRPr="0022243B" w:rsidRDefault="003A561C" w:rsidP="0000699D">
            <w:pPr>
              <w:widowControl/>
              <w:jc w:val="center"/>
              <w:rPr>
                <w:rFonts w:asciiTheme="minorEastAsia" w:eastAsiaTheme="minorEastAsia" w:hAnsiTheme="minorEastAsia" w:cs="宋体"/>
                <w:color w:val="000000"/>
                <w:kern w:val="0"/>
                <w:szCs w:val="21"/>
              </w:rPr>
            </w:pPr>
            <w:r w:rsidRPr="0022243B">
              <w:rPr>
                <w:rFonts w:asciiTheme="minorEastAsia" w:eastAsiaTheme="minorEastAsia" w:hAnsiTheme="minorEastAsia" w:cs="宋体" w:hint="eastAsia"/>
                <w:color w:val="000000"/>
                <w:kern w:val="0"/>
                <w:szCs w:val="21"/>
              </w:rPr>
              <w:t>台</w:t>
            </w:r>
          </w:p>
        </w:tc>
        <w:tc>
          <w:tcPr>
            <w:tcW w:w="708" w:type="dxa"/>
            <w:vAlign w:val="center"/>
          </w:tcPr>
          <w:p w:rsidR="003A561C" w:rsidRPr="0022243B" w:rsidRDefault="003A561C" w:rsidP="0000699D">
            <w:pPr>
              <w:widowControl/>
              <w:jc w:val="center"/>
              <w:rPr>
                <w:rFonts w:asciiTheme="minorEastAsia" w:eastAsiaTheme="minorEastAsia" w:hAnsiTheme="minorEastAsia" w:cs="宋体"/>
                <w:color w:val="000000"/>
                <w:kern w:val="0"/>
                <w:szCs w:val="21"/>
              </w:rPr>
            </w:pPr>
            <w:r w:rsidRPr="0022243B">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rPr>
                <w:rFonts w:asciiTheme="minorEastAsia" w:eastAsiaTheme="minorEastAsia" w:hAnsiTheme="minorEastAsia" w:cs="宋体"/>
                <w:color w:val="000000"/>
                <w:kern w:val="0"/>
                <w:szCs w:val="21"/>
                <w:highlight w:val="yellow"/>
              </w:rPr>
            </w:pPr>
          </w:p>
        </w:tc>
      </w:tr>
      <w:tr w:rsidR="003A561C" w:rsidRPr="003A561C" w:rsidTr="004D5DA9">
        <w:trPr>
          <w:trHeight w:val="520"/>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交换机</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产品类型：智能交换机</w:t>
            </w:r>
            <w:r w:rsidRPr="003A561C">
              <w:rPr>
                <w:rFonts w:asciiTheme="minorEastAsia" w:eastAsiaTheme="minorEastAsia" w:hAnsiTheme="minorEastAsia" w:cs="宋体" w:hint="eastAsia"/>
                <w:color w:val="000000"/>
                <w:kern w:val="0"/>
                <w:szCs w:val="21"/>
              </w:rPr>
              <w:br/>
              <w:t>应用层级：三层</w:t>
            </w:r>
            <w:r w:rsidRPr="003A561C">
              <w:rPr>
                <w:rFonts w:asciiTheme="minorEastAsia" w:eastAsiaTheme="minorEastAsia" w:hAnsiTheme="minorEastAsia" w:cs="宋体" w:hint="eastAsia"/>
                <w:color w:val="000000"/>
                <w:kern w:val="0"/>
                <w:szCs w:val="21"/>
              </w:rPr>
              <w:br/>
              <w:t>传输速率：10/100/1000Mbps</w:t>
            </w:r>
            <w:r w:rsidRPr="003A561C">
              <w:rPr>
                <w:rFonts w:asciiTheme="minorEastAsia" w:eastAsiaTheme="minorEastAsia" w:hAnsiTheme="minorEastAsia" w:cs="宋体" w:hint="eastAsia"/>
                <w:color w:val="000000"/>
                <w:kern w:val="0"/>
                <w:szCs w:val="21"/>
              </w:rPr>
              <w:br/>
              <w:t>交换方式：存储-转发</w:t>
            </w:r>
            <w:r w:rsidRPr="003A561C">
              <w:rPr>
                <w:rFonts w:asciiTheme="minorEastAsia" w:eastAsiaTheme="minorEastAsia" w:hAnsiTheme="minorEastAsia" w:cs="宋体" w:hint="eastAsia"/>
                <w:color w:val="000000"/>
                <w:kern w:val="0"/>
                <w:szCs w:val="21"/>
              </w:rPr>
              <w:br/>
              <w:t>背板带宽：192Gbps</w:t>
            </w:r>
            <w:r w:rsidRPr="003A561C">
              <w:rPr>
                <w:rFonts w:asciiTheme="minorEastAsia" w:eastAsiaTheme="minorEastAsia" w:hAnsiTheme="minorEastAsia" w:cs="宋体" w:hint="eastAsia"/>
                <w:color w:val="000000"/>
                <w:kern w:val="0"/>
                <w:szCs w:val="21"/>
              </w:rPr>
              <w:br/>
              <w:t>包转发率：42Mpps</w:t>
            </w:r>
            <w:r w:rsidRPr="003A561C">
              <w:rPr>
                <w:rFonts w:asciiTheme="minorEastAsia" w:eastAsiaTheme="minorEastAsia" w:hAnsiTheme="minorEastAsia" w:cs="宋体" w:hint="eastAsia"/>
                <w:color w:val="000000"/>
                <w:kern w:val="0"/>
                <w:szCs w:val="21"/>
              </w:rPr>
              <w:br/>
              <w:t>端口结构：非模块化</w:t>
            </w:r>
            <w:r w:rsidRPr="003A561C">
              <w:rPr>
                <w:rFonts w:asciiTheme="minorEastAsia" w:eastAsiaTheme="minorEastAsia" w:hAnsiTheme="minorEastAsia" w:cs="宋体" w:hint="eastAsia"/>
                <w:color w:val="000000"/>
                <w:kern w:val="0"/>
                <w:szCs w:val="21"/>
              </w:rPr>
              <w:br/>
              <w:t>端口数量：28个</w:t>
            </w:r>
            <w:r w:rsidRPr="003A561C">
              <w:rPr>
                <w:rFonts w:asciiTheme="minorEastAsia" w:eastAsiaTheme="minorEastAsia" w:hAnsiTheme="minorEastAsia" w:cs="宋体" w:hint="eastAsia"/>
                <w:color w:val="000000"/>
                <w:kern w:val="0"/>
                <w:szCs w:val="21"/>
              </w:rPr>
              <w:br/>
              <w:t>端口描述：24个10/100/1000Base-T以太网端口，4个1000Base-X SFP千兆以太网端口</w:t>
            </w:r>
            <w:r w:rsidRPr="003A561C">
              <w:rPr>
                <w:rFonts w:asciiTheme="minorEastAsia" w:eastAsiaTheme="minorEastAsia" w:hAnsiTheme="minorEastAsia" w:cs="宋体" w:hint="eastAsia"/>
                <w:color w:val="000000"/>
                <w:kern w:val="0"/>
                <w:szCs w:val="21"/>
              </w:rPr>
              <w:br/>
              <w:t>控制端口：1个Console口</w:t>
            </w:r>
            <w:r w:rsidRPr="003A561C">
              <w:rPr>
                <w:rFonts w:asciiTheme="minorEastAsia" w:eastAsiaTheme="minorEastAsia" w:hAnsiTheme="minorEastAsia" w:cs="宋体" w:hint="eastAsia"/>
                <w:color w:val="000000"/>
                <w:kern w:val="0"/>
                <w:szCs w:val="21"/>
              </w:rPr>
              <w:br/>
              <w:t>传输模式：全双工</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台</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5</w:t>
            </w:r>
          </w:p>
        </w:tc>
        <w:tc>
          <w:tcPr>
            <w:tcW w:w="1014" w:type="dxa"/>
            <w:vAlign w:val="center"/>
          </w:tcPr>
          <w:p w:rsidR="003A561C" w:rsidRPr="003A561C" w:rsidRDefault="003A561C" w:rsidP="00821E88">
            <w:pPr>
              <w:widowControl/>
              <w:rPr>
                <w:rFonts w:asciiTheme="minorEastAsia" w:eastAsiaTheme="minorEastAsia" w:hAnsiTheme="minorEastAsia" w:cs="宋体"/>
                <w:color w:val="000000"/>
                <w:kern w:val="0"/>
                <w:szCs w:val="21"/>
              </w:rPr>
            </w:pPr>
          </w:p>
        </w:tc>
      </w:tr>
      <w:tr w:rsidR="003A561C" w:rsidRPr="003A561C" w:rsidTr="004D5DA9">
        <w:trPr>
          <w:trHeight w:val="1011"/>
          <w:jc w:val="center"/>
        </w:trPr>
        <w:tc>
          <w:tcPr>
            <w:tcW w:w="657" w:type="dxa"/>
            <w:vAlign w:val="center"/>
          </w:tcPr>
          <w:p w:rsidR="003A561C" w:rsidRPr="003A561C" w:rsidRDefault="003A561C" w:rsidP="004D5DA9">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lastRenderedPageBreak/>
              <w:t>1</w:t>
            </w:r>
            <w:r w:rsidR="00B33EA7">
              <w:rPr>
                <w:rFonts w:asciiTheme="minorEastAsia" w:eastAsiaTheme="minorEastAsia" w:hAnsiTheme="minorEastAsia" w:cs="宋体" w:hint="eastAsia"/>
                <w:color w:val="000000"/>
                <w:kern w:val="0"/>
                <w:szCs w:val="21"/>
              </w:rPr>
              <w:t>2</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弧形电脑桌</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基材：25mm厚中密度纤维板基材，贴面：防火，同色优质PVC封边，优质五金件。隔板和台面加筋，作防弯曲处理。所用人造板材和粘合剂，需达到国家标准，甲醛释放量达国标（E1级）。安全、环保、防潮、防变形。</w:t>
            </w:r>
            <w:r w:rsidRPr="003A561C">
              <w:rPr>
                <w:rFonts w:asciiTheme="minorEastAsia" w:eastAsiaTheme="minorEastAsia" w:hAnsiTheme="minorEastAsia" w:cs="宋体" w:hint="eastAsia"/>
                <w:color w:val="000000"/>
                <w:kern w:val="0"/>
                <w:szCs w:val="21"/>
              </w:rPr>
              <w:br/>
              <w:t>规格：（长*宽*高）1000*600*750，或根据现场实际情况定制</w:t>
            </w:r>
            <w:r w:rsidRPr="003A561C">
              <w:rPr>
                <w:rFonts w:asciiTheme="minorEastAsia" w:eastAsiaTheme="minorEastAsia" w:hAnsiTheme="minorEastAsia" w:cs="宋体" w:hint="eastAsia"/>
                <w:color w:val="000000"/>
                <w:kern w:val="0"/>
                <w:szCs w:val="21"/>
              </w:rPr>
              <w:br/>
              <w:t>配置：主机位，键盘架</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张</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100</w:t>
            </w:r>
          </w:p>
        </w:tc>
        <w:tc>
          <w:tcPr>
            <w:tcW w:w="1014" w:type="dxa"/>
            <w:vAlign w:val="center"/>
          </w:tcPr>
          <w:p w:rsidR="003A561C" w:rsidRPr="003A561C" w:rsidRDefault="003A561C" w:rsidP="00821E88">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r>
      <w:tr w:rsidR="003A561C" w:rsidRPr="003A561C" w:rsidTr="004D5DA9">
        <w:trPr>
          <w:trHeight w:val="447"/>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椅子</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功能：升降、旋转、滚动</w:t>
            </w:r>
            <w:r w:rsidRPr="003A561C">
              <w:rPr>
                <w:rFonts w:asciiTheme="minorEastAsia" w:eastAsiaTheme="minorEastAsia" w:hAnsiTheme="minorEastAsia" w:cs="宋体" w:hint="eastAsia"/>
                <w:color w:val="000000"/>
                <w:kern w:val="0"/>
                <w:szCs w:val="21"/>
              </w:rPr>
              <w:br/>
              <w:t>材质：钢架结构，海绵填充，PU面料。</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把</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100</w:t>
            </w:r>
          </w:p>
        </w:tc>
        <w:tc>
          <w:tcPr>
            <w:tcW w:w="1014" w:type="dxa"/>
            <w:vAlign w:val="center"/>
          </w:tcPr>
          <w:p w:rsidR="003A561C" w:rsidRPr="003A561C" w:rsidRDefault="003A561C" w:rsidP="00821E88">
            <w:pPr>
              <w:widowControl/>
              <w:jc w:val="left"/>
              <w:rPr>
                <w:rFonts w:asciiTheme="minorEastAsia" w:eastAsiaTheme="minorEastAsia" w:hAnsiTheme="minorEastAsia" w:cs="宋体"/>
                <w:color w:val="000000"/>
                <w:kern w:val="0"/>
                <w:szCs w:val="21"/>
              </w:rPr>
            </w:pPr>
          </w:p>
        </w:tc>
      </w:tr>
      <w:tr w:rsidR="003A561C" w:rsidRPr="003A561C" w:rsidTr="004D5DA9">
        <w:trPr>
          <w:trHeight w:val="295"/>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电源插座</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三三插C32-10S</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个</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100</w:t>
            </w:r>
          </w:p>
        </w:tc>
        <w:tc>
          <w:tcPr>
            <w:tcW w:w="1014" w:type="dxa"/>
            <w:vAlign w:val="center"/>
          </w:tcPr>
          <w:p w:rsidR="003A561C" w:rsidRPr="003A561C" w:rsidRDefault="003A561C" w:rsidP="00821E88">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noProof/>
                <w:color w:val="000000"/>
                <w:kern w:val="0"/>
                <w:szCs w:val="21"/>
              </w:rPr>
              <w:drawing>
                <wp:inline distT="0" distB="0" distL="0" distR="0" wp14:anchorId="04707D17" wp14:editId="6A7B938D">
                  <wp:extent cx="542181" cy="285750"/>
                  <wp:effectExtent l="0" t="0" r="0" b="0"/>
                  <wp:docPr id="504"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568" cy="284373"/>
                          </a:xfrm>
                          <a:prstGeom prst="rect">
                            <a:avLst/>
                          </a:prstGeom>
                          <a:noFill/>
                        </pic:spPr>
                      </pic:pic>
                    </a:graphicData>
                  </a:graphic>
                </wp:inline>
              </w:drawing>
            </w:r>
          </w:p>
          <w:p w:rsidR="003A561C" w:rsidRPr="003A561C" w:rsidRDefault="003A561C" w:rsidP="00821E88">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安装在电脑桌后指定位置</w:t>
            </w:r>
          </w:p>
        </w:tc>
      </w:tr>
      <w:tr w:rsidR="003A561C" w:rsidRPr="003A561C" w:rsidTr="004D5DA9">
        <w:trPr>
          <w:trHeight w:val="70"/>
          <w:jc w:val="center"/>
        </w:trPr>
        <w:tc>
          <w:tcPr>
            <w:tcW w:w="657" w:type="dxa"/>
            <w:vAlign w:val="center"/>
          </w:tcPr>
          <w:p w:rsidR="003A561C" w:rsidRPr="003A561C" w:rsidRDefault="003A561C" w:rsidP="004D5DA9">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r w:rsidR="00B33EA7">
              <w:rPr>
                <w:rFonts w:asciiTheme="minorEastAsia" w:eastAsiaTheme="minorEastAsia" w:hAnsiTheme="minorEastAsia" w:cs="宋体" w:hint="eastAsia"/>
                <w:color w:val="000000"/>
                <w:kern w:val="0"/>
                <w:szCs w:val="21"/>
              </w:rPr>
              <w:t>5</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超五类网线</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超五类4对非屏蔽双绞线，CM,305米</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箱</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15</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72"/>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超五类模块配线架</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PD2124，超五类非屏蔽，飞马模块，24口防尘式配线架</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个</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5</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70"/>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理线架</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PA3211(02), 金属理线架</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个</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5</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793"/>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超五类跳线</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CP61-411-12，超五类4对非屏蔽跳线，CM， 2米，灰色</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条</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120</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357"/>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水晶头</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CP13-111-01，Cat5e非屏蔽水晶头,镀金50u,三叉脚，用于单芯硬线</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盒</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3</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361"/>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面板</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CP21-112-10，86型双孔面板，白色</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个</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209"/>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多模光纤模块</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SFP-GE-SX-MM850</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个</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2</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70"/>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多模光纤跳线</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条</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95"/>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多模光纤配线架</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 xml:space="preserve">　</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个</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70"/>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标签</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前端、跳线两端、配线架</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张</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480</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r w:rsidR="003A561C" w:rsidRPr="003A561C" w:rsidTr="004D5DA9">
        <w:trPr>
          <w:trHeight w:val="70"/>
          <w:jc w:val="center"/>
        </w:trPr>
        <w:tc>
          <w:tcPr>
            <w:tcW w:w="657" w:type="dxa"/>
            <w:vAlign w:val="center"/>
          </w:tcPr>
          <w:p w:rsidR="003A561C" w:rsidRPr="003A561C" w:rsidRDefault="00B33EA7" w:rsidP="004D5DA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1390"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施工辅材</w:t>
            </w:r>
          </w:p>
        </w:tc>
        <w:tc>
          <w:tcPr>
            <w:tcW w:w="5839" w:type="dxa"/>
            <w:vAlign w:val="center"/>
          </w:tcPr>
          <w:p w:rsidR="003A561C" w:rsidRPr="003A561C" w:rsidRDefault="003A561C" w:rsidP="003A561C">
            <w:pPr>
              <w:widowControl/>
              <w:jc w:val="left"/>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PVC、镀锌铁槽、拉爆、电胶布、胶粒、自攻螺丝等</w:t>
            </w:r>
          </w:p>
        </w:tc>
        <w:tc>
          <w:tcPr>
            <w:tcW w:w="709"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间</w:t>
            </w:r>
          </w:p>
        </w:tc>
        <w:tc>
          <w:tcPr>
            <w:tcW w:w="708" w:type="dxa"/>
            <w:vAlign w:val="center"/>
          </w:tcPr>
          <w:p w:rsidR="003A561C" w:rsidRPr="003A561C" w:rsidRDefault="003A561C" w:rsidP="0000699D">
            <w:pPr>
              <w:widowControl/>
              <w:jc w:val="center"/>
              <w:rPr>
                <w:rFonts w:asciiTheme="minorEastAsia" w:eastAsiaTheme="minorEastAsia" w:hAnsiTheme="minorEastAsia" w:cs="宋体"/>
                <w:color w:val="000000"/>
                <w:kern w:val="0"/>
                <w:szCs w:val="21"/>
              </w:rPr>
            </w:pPr>
            <w:r w:rsidRPr="003A561C">
              <w:rPr>
                <w:rFonts w:asciiTheme="minorEastAsia" w:eastAsiaTheme="minorEastAsia" w:hAnsiTheme="minorEastAsia" w:cs="宋体" w:hint="eastAsia"/>
                <w:color w:val="000000"/>
                <w:kern w:val="0"/>
                <w:szCs w:val="21"/>
              </w:rPr>
              <w:t>1</w:t>
            </w:r>
          </w:p>
        </w:tc>
        <w:tc>
          <w:tcPr>
            <w:tcW w:w="1014" w:type="dxa"/>
            <w:vAlign w:val="center"/>
          </w:tcPr>
          <w:p w:rsidR="003A561C" w:rsidRPr="003A561C" w:rsidRDefault="003A561C" w:rsidP="00821E88">
            <w:pPr>
              <w:widowControl/>
              <w:jc w:val="left"/>
              <w:rPr>
                <w:rFonts w:asciiTheme="minorEastAsia" w:eastAsiaTheme="minorEastAsia" w:hAnsiTheme="minorEastAsia" w:cs="宋体"/>
                <w:noProof/>
                <w:color w:val="000000"/>
                <w:kern w:val="0"/>
                <w:szCs w:val="21"/>
              </w:rPr>
            </w:pPr>
          </w:p>
        </w:tc>
      </w:tr>
    </w:tbl>
    <w:p w:rsidR="005317DC" w:rsidRPr="002B7AA6" w:rsidRDefault="005317DC"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弱电线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w:t>
      </w:r>
      <w:r w:rsidRPr="00465962">
        <w:rPr>
          <w:rFonts w:ascii="仿宋" w:eastAsia="仿宋" w:hAnsi="仿宋" w:cs="仿宋" w:hint="eastAsia"/>
          <w:sz w:val="28"/>
          <w:szCs w:val="28"/>
        </w:rPr>
        <w:lastRenderedPageBreak/>
        <w:t>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合同签定之日起7个工作日内，买方预付合同总价20%作为定金；验收合格后，15个工作日内支付合同总价7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3"/>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1CE" w:rsidRDefault="005C61CE" w:rsidP="005900E5">
      <w:r>
        <w:separator/>
      </w:r>
    </w:p>
  </w:endnote>
  <w:endnote w:type="continuationSeparator" w:id="0">
    <w:p w:rsidR="005C61CE" w:rsidRDefault="005C61CE"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D5883" w:rsidRPr="00DD588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D5883">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D5883" w:rsidRPr="00DD588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D5883">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pPr>
    <w:r>
      <w:rPr>
        <w:noProof/>
      </w:rPr>
      <mc:AlternateContent>
        <mc:Choice Requires="wps">
          <w:drawing>
            <wp:anchor distT="0" distB="0" distL="114300" distR="114300" simplePos="0" relativeHeight="251658240" behindDoc="0" locked="0" layoutInCell="1" allowOverlap="1" wp14:anchorId="1806768A" wp14:editId="4AFE48D3">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D5883" w:rsidRPr="00DD588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D5883">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D5883" w:rsidRPr="00DD588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D5883">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1CE" w:rsidRDefault="005C61CE" w:rsidP="005900E5">
      <w:r>
        <w:separator/>
      </w:r>
    </w:p>
  </w:footnote>
  <w:footnote w:type="continuationSeparator" w:id="0">
    <w:p w:rsidR="005C61CE" w:rsidRDefault="005C61CE"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Pr="002A20D3" w:rsidRDefault="002A20D3" w:rsidP="002A20D3">
    <w:pPr>
      <w:pStyle w:val="a3"/>
      <w:jc w:val="left"/>
    </w:pPr>
    <w:r>
      <w:rPr>
        <w:rFonts w:hint="eastAsia"/>
      </w:rPr>
      <w:t>中山大学新华学院</w:t>
    </w:r>
    <w:r>
      <w:rPr>
        <w:rFonts w:hint="eastAsia"/>
      </w:rPr>
      <w:t>2015</w:t>
    </w:r>
    <w:r>
      <w:rPr>
        <w:rFonts w:hint="eastAsia"/>
      </w:rPr>
      <w:t>年金融衍生品实训室通用设备</w:t>
    </w:r>
    <w:r>
      <w:t>招标</w:t>
    </w:r>
    <w:r>
      <w:rPr>
        <w:rFonts w:hint="eastAsia"/>
      </w:rPr>
      <w:t xml:space="preserve">                            </w:t>
    </w:r>
    <w:r w:rsidR="008D3553">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w:t>
    </w:r>
    <w:r>
      <w:rPr>
        <w:rFonts w:hint="eastAsia"/>
      </w:rPr>
      <w:t>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2A20D3" w:rsidP="00FE4E5F">
    <w:pPr>
      <w:pStyle w:val="a3"/>
      <w:jc w:val="left"/>
    </w:pPr>
    <w:r>
      <w:rPr>
        <w:rFonts w:hint="eastAsia"/>
      </w:rPr>
      <w:t>中山大学新华学院</w:t>
    </w:r>
    <w:r>
      <w:rPr>
        <w:rFonts w:hint="eastAsia"/>
      </w:rPr>
      <w:t>2015</w:t>
    </w:r>
    <w:r>
      <w:rPr>
        <w:rFonts w:hint="eastAsia"/>
      </w:rPr>
      <w:t>年金融衍生品实训室通用设备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w:t>
    </w:r>
    <w:r>
      <w:rPr>
        <w:rFonts w:hint="eastAsia"/>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699D"/>
    <w:rsid w:val="0001125F"/>
    <w:rsid w:val="00025E0D"/>
    <w:rsid w:val="00031C7E"/>
    <w:rsid w:val="0003530E"/>
    <w:rsid w:val="00046FE4"/>
    <w:rsid w:val="00063730"/>
    <w:rsid w:val="00065100"/>
    <w:rsid w:val="00066F4F"/>
    <w:rsid w:val="000717EF"/>
    <w:rsid w:val="0008364D"/>
    <w:rsid w:val="00090522"/>
    <w:rsid w:val="00090E40"/>
    <w:rsid w:val="0009698E"/>
    <w:rsid w:val="000A432C"/>
    <w:rsid w:val="000B5FE3"/>
    <w:rsid w:val="000C0608"/>
    <w:rsid w:val="000C728A"/>
    <w:rsid w:val="00100D26"/>
    <w:rsid w:val="00106E02"/>
    <w:rsid w:val="00142876"/>
    <w:rsid w:val="001509F3"/>
    <w:rsid w:val="00163A21"/>
    <w:rsid w:val="001710AF"/>
    <w:rsid w:val="00177D01"/>
    <w:rsid w:val="001A2F7E"/>
    <w:rsid w:val="001A350E"/>
    <w:rsid w:val="001B5D7A"/>
    <w:rsid w:val="001C6323"/>
    <w:rsid w:val="001E64FD"/>
    <w:rsid w:val="001E7F93"/>
    <w:rsid w:val="00200549"/>
    <w:rsid w:val="002077A7"/>
    <w:rsid w:val="00215FFF"/>
    <w:rsid w:val="0022243B"/>
    <w:rsid w:val="00234D78"/>
    <w:rsid w:val="0023515B"/>
    <w:rsid w:val="00236069"/>
    <w:rsid w:val="00250837"/>
    <w:rsid w:val="00254342"/>
    <w:rsid w:val="0026054C"/>
    <w:rsid w:val="002818B6"/>
    <w:rsid w:val="00284CE0"/>
    <w:rsid w:val="002A0288"/>
    <w:rsid w:val="002A20D3"/>
    <w:rsid w:val="002B7AA6"/>
    <w:rsid w:val="002C01E1"/>
    <w:rsid w:val="002C5CD4"/>
    <w:rsid w:val="002C63DA"/>
    <w:rsid w:val="002D631F"/>
    <w:rsid w:val="00300865"/>
    <w:rsid w:val="00305780"/>
    <w:rsid w:val="00305F4A"/>
    <w:rsid w:val="00320065"/>
    <w:rsid w:val="003252C5"/>
    <w:rsid w:val="00325926"/>
    <w:rsid w:val="00341887"/>
    <w:rsid w:val="003425CE"/>
    <w:rsid w:val="00342D21"/>
    <w:rsid w:val="003773F9"/>
    <w:rsid w:val="00377D32"/>
    <w:rsid w:val="003870FC"/>
    <w:rsid w:val="003915D5"/>
    <w:rsid w:val="00391EFC"/>
    <w:rsid w:val="00393EE3"/>
    <w:rsid w:val="003A2500"/>
    <w:rsid w:val="003A561C"/>
    <w:rsid w:val="003B5BEA"/>
    <w:rsid w:val="003C0A70"/>
    <w:rsid w:val="003C28BC"/>
    <w:rsid w:val="003D6EE4"/>
    <w:rsid w:val="003F1C52"/>
    <w:rsid w:val="00431970"/>
    <w:rsid w:val="004338C5"/>
    <w:rsid w:val="0044592E"/>
    <w:rsid w:val="0045085C"/>
    <w:rsid w:val="00457F8B"/>
    <w:rsid w:val="004A6167"/>
    <w:rsid w:val="004B3176"/>
    <w:rsid w:val="004B3FFD"/>
    <w:rsid w:val="004B7746"/>
    <w:rsid w:val="004D5DA9"/>
    <w:rsid w:val="004E1D58"/>
    <w:rsid w:val="004F5429"/>
    <w:rsid w:val="0050512E"/>
    <w:rsid w:val="005317DC"/>
    <w:rsid w:val="005329FE"/>
    <w:rsid w:val="00586867"/>
    <w:rsid w:val="005900E5"/>
    <w:rsid w:val="005C33AC"/>
    <w:rsid w:val="005C61CE"/>
    <w:rsid w:val="005D58B9"/>
    <w:rsid w:val="005F7110"/>
    <w:rsid w:val="00603005"/>
    <w:rsid w:val="0060371D"/>
    <w:rsid w:val="00605F06"/>
    <w:rsid w:val="0063561C"/>
    <w:rsid w:val="00641BCE"/>
    <w:rsid w:val="0065132D"/>
    <w:rsid w:val="00654034"/>
    <w:rsid w:val="006639B7"/>
    <w:rsid w:val="00663DE3"/>
    <w:rsid w:val="0068058F"/>
    <w:rsid w:val="00690697"/>
    <w:rsid w:val="00692253"/>
    <w:rsid w:val="00692EA0"/>
    <w:rsid w:val="006B708C"/>
    <w:rsid w:val="006C6DDB"/>
    <w:rsid w:val="006E695F"/>
    <w:rsid w:val="007146AE"/>
    <w:rsid w:val="00731AD5"/>
    <w:rsid w:val="00737E84"/>
    <w:rsid w:val="0074446F"/>
    <w:rsid w:val="00770448"/>
    <w:rsid w:val="00771D7C"/>
    <w:rsid w:val="00774136"/>
    <w:rsid w:val="00794BC8"/>
    <w:rsid w:val="007C1659"/>
    <w:rsid w:val="007C35CB"/>
    <w:rsid w:val="007C6420"/>
    <w:rsid w:val="007D250D"/>
    <w:rsid w:val="007E2B3E"/>
    <w:rsid w:val="007E52F7"/>
    <w:rsid w:val="007F27DA"/>
    <w:rsid w:val="007F4A5F"/>
    <w:rsid w:val="008121F0"/>
    <w:rsid w:val="0081578B"/>
    <w:rsid w:val="00824934"/>
    <w:rsid w:val="0083786E"/>
    <w:rsid w:val="00842F62"/>
    <w:rsid w:val="00847D63"/>
    <w:rsid w:val="00856523"/>
    <w:rsid w:val="00874002"/>
    <w:rsid w:val="008A5378"/>
    <w:rsid w:val="008D3553"/>
    <w:rsid w:val="008D508F"/>
    <w:rsid w:val="008E01EF"/>
    <w:rsid w:val="008F1973"/>
    <w:rsid w:val="00907E14"/>
    <w:rsid w:val="0092103A"/>
    <w:rsid w:val="00931111"/>
    <w:rsid w:val="00935797"/>
    <w:rsid w:val="0093676A"/>
    <w:rsid w:val="00952B4E"/>
    <w:rsid w:val="00955C7D"/>
    <w:rsid w:val="00956A49"/>
    <w:rsid w:val="009648C1"/>
    <w:rsid w:val="009735EB"/>
    <w:rsid w:val="009829F3"/>
    <w:rsid w:val="00986125"/>
    <w:rsid w:val="009B0164"/>
    <w:rsid w:val="009E09ED"/>
    <w:rsid w:val="009E2761"/>
    <w:rsid w:val="00A11E42"/>
    <w:rsid w:val="00A13B78"/>
    <w:rsid w:val="00A670D5"/>
    <w:rsid w:val="00A92484"/>
    <w:rsid w:val="00AA0B06"/>
    <w:rsid w:val="00AA1BC1"/>
    <w:rsid w:val="00AB0828"/>
    <w:rsid w:val="00B11BBD"/>
    <w:rsid w:val="00B24EC0"/>
    <w:rsid w:val="00B33EA7"/>
    <w:rsid w:val="00B448DE"/>
    <w:rsid w:val="00B4605B"/>
    <w:rsid w:val="00B651A6"/>
    <w:rsid w:val="00B6627F"/>
    <w:rsid w:val="00B73B85"/>
    <w:rsid w:val="00B73F05"/>
    <w:rsid w:val="00BA0D72"/>
    <w:rsid w:val="00BA5EA3"/>
    <w:rsid w:val="00BB64A0"/>
    <w:rsid w:val="00BC7B66"/>
    <w:rsid w:val="00BD1892"/>
    <w:rsid w:val="00BF661A"/>
    <w:rsid w:val="00C01ABD"/>
    <w:rsid w:val="00C11A64"/>
    <w:rsid w:val="00C5150B"/>
    <w:rsid w:val="00C55B0A"/>
    <w:rsid w:val="00C56C91"/>
    <w:rsid w:val="00C605D6"/>
    <w:rsid w:val="00C62AC5"/>
    <w:rsid w:val="00C765F2"/>
    <w:rsid w:val="00CA2192"/>
    <w:rsid w:val="00CA2377"/>
    <w:rsid w:val="00CA2A81"/>
    <w:rsid w:val="00CA60E7"/>
    <w:rsid w:val="00CC4D96"/>
    <w:rsid w:val="00CC6688"/>
    <w:rsid w:val="00CD480D"/>
    <w:rsid w:val="00CD6A87"/>
    <w:rsid w:val="00CE334C"/>
    <w:rsid w:val="00CE472D"/>
    <w:rsid w:val="00CE6788"/>
    <w:rsid w:val="00D06016"/>
    <w:rsid w:val="00D151E6"/>
    <w:rsid w:val="00D270E1"/>
    <w:rsid w:val="00D3585A"/>
    <w:rsid w:val="00D5228E"/>
    <w:rsid w:val="00D83E92"/>
    <w:rsid w:val="00DA4D38"/>
    <w:rsid w:val="00DD383D"/>
    <w:rsid w:val="00DD5883"/>
    <w:rsid w:val="00DE00D8"/>
    <w:rsid w:val="00DE15DB"/>
    <w:rsid w:val="00DF52A9"/>
    <w:rsid w:val="00DF74ED"/>
    <w:rsid w:val="00E01B8E"/>
    <w:rsid w:val="00E22FB3"/>
    <w:rsid w:val="00E54D9B"/>
    <w:rsid w:val="00E5774A"/>
    <w:rsid w:val="00E71DE3"/>
    <w:rsid w:val="00E73633"/>
    <w:rsid w:val="00E80E86"/>
    <w:rsid w:val="00E839BE"/>
    <w:rsid w:val="00E95570"/>
    <w:rsid w:val="00EC14CD"/>
    <w:rsid w:val="00ED2E4D"/>
    <w:rsid w:val="00EF3A8C"/>
    <w:rsid w:val="00EF4A72"/>
    <w:rsid w:val="00F13AC7"/>
    <w:rsid w:val="00F205ED"/>
    <w:rsid w:val="00F23CD5"/>
    <w:rsid w:val="00F24694"/>
    <w:rsid w:val="00F42AC6"/>
    <w:rsid w:val="00F4690E"/>
    <w:rsid w:val="00F6533C"/>
    <w:rsid w:val="00FA397E"/>
    <w:rsid w:val="00FC2B14"/>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5296</TotalTime>
  <Pages>20</Pages>
  <Words>1573</Words>
  <Characters>8969</Characters>
  <Application>Microsoft Office Word</Application>
  <DocSecurity>0</DocSecurity>
  <Lines>74</Lines>
  <Paragraphs>21</Paragraphs>
  <ScaleCrop>false</ScaleCrop>
  <Company/>
  <LinksUpToDate>false</LinksUpToDate>
  <CharactersWithSpaces>10521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赖少雄</cp:lastModifiedBy>
  <cp:revision>138</cp:revision>
  <cp:lastPrinted>2014-11-18T01:50:00Z</cp:lastPrinted>
  <dcterms:created xsi:type="dcterms:W3CDTF">2014-03-03T01:06:00Z</dcterms:created>
  <dcterms:modified xsi:type="dcterms:W3CDTF">2015-07-06T00:53:00Z</dcterms:modified>
</cp:coreProperties>
</file>