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line="600" w:lineRule="exact"/>
        <w:rPr>
          <w:sz w:val="52"/>
          <w:szCs w:val="52"/>
        </w:rPr>
      </w:pPr>
      <w:r>
        <w:rPr>
          <w:rFonts w:hint="eastAsia"/>
          <w:b/>
          <w:bCs/>
          <w:sz w:val="52"/>
          <w:szCs w:val="52"/>
        </w:rPr>
        <w:t>中 山 大 学 新 华 学 院</w:t>
      </w:r>
    </w:p>
    <w:p>
      <w:pPr>
        <w:spacing w:after="50" w:line="600" w:lineRule="exact"/>
        <w:ind w:firstLine="360" w:firstLineChars="100"/>
        <w:jc w:val="center"/>
        <w:rPr>
          <w:rFonts w:ascii="仿宋_GB2312" w:hAnsi="宋体" w:eastAsia="仿宋_GB2312"/>
          <w:sz w:val="32"/>
          <w:szCs w:val="22"/>
        </w:rPr>
      </w:pPr>
      <w:r>
        <w:rPr>
          <w:rFonts w:hint="eastAsia"/>
          <w:sz w:val="36"/>
        </w:rPr>
        <w:t>园林.绿化.中药园种值养护服务</w:t>
      </w:r>
      <w:r>
        <w:rPr>
          <w:rFonts w:hint="eastAsia" w:ascii="仿宋" w:hAnsi="仿宋" w:eastAsia="仿宋" w:cs="仿宋"/>
          <w:sz w:val="36"/>
          <w:szCs w:val="36"/>
        </w:rPr>
        <w:t>项目</w:t>
      </w:r>
    </w:p>
    <w:p>
      <w:pPr>
        <w:spacing w:after="50" w:line="600" w:lineRule="exact"/>
        <w:ind w:left="-3" w:hanging="3"/>
        <w:jc w:val="center"/>
        <w:rPr>
          <w:rFonts w:ascii="仿宋_GB2312" w:hAnsi="宋体" w:eastAsia="仿宋_GB2312"/>
          <w:sz w:val="36"/>
        </w:rPr>
      </w:pP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招</w:t>
      </w: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标</w:t>
      </w: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 xml:space="preserve">文 </w:t>
      </w:r>
    </w:p>
    <w:p>
      <w:pPr>
        <w:adjustRightInd w:val="0"/>
        <w:snapToGrid w:val="0"/>
        <w:spacing w:line="480" w:lineRule="auto"/>
        <w:jc w:val="center"/>
        <w:rPr>
          <w:rFonts w:ascii="仿宋_GB2312" w:hAnsi="宋体" w:eastAsia="仿宋_GB2312"/>
          <w:b/>
          <w:bCs/>
          <w:sz w:val="96"/>
          <w:szCs w:val="96"/>
        </w:rPr>
      </w:pPr>
      <w:r>
        <w:rPr>
          <w:rFonts w:hint="eastAsia" w:ascii="黑体" w:hAnsi="黑体" w:eastAsia="黑体" w:cs="黑体"/>
          <w:sz w:val="96"/>
          <w:szCs w:val="96"/>
        </w:rPr>
        <w:t>件</w:t>
      </w:r>
    </w:p>
    <w:p>
      <w:pPr>
        <w:spacing w:line="600" w:lineRule="exact"/>
        <w:jc w:val="center"/>
        <w:rPr>
          <w:rFonts w:ascii="仿宋_GB2312" w:hAnsi="宋体" w:eastAsia="仿宋_GB2312"/>
          <w:b/>
          <w:bCs/>
          <w:sz w:val="28"/>
        </w:rPr>
      </w:pPr>
    </w:p>
    <w:p>
      <w:pPr>
        <w:spacing w:line="600" w:lineRule="exact"/>
        <w:jc w:val="center"/>
        <w:rPr>
          <w:rFonts w:ascii="仿宋_GB2312" w:hAnsi="宋体" w:eastAsia="仿宋_GB2312"/>
          <w:b/>
          <w:bCs/>
          <w:sz w:val="28"/>
        </w:rPr>
      </w:pPr>
      <w:r>
        <w:rPr>
          <w:rFonts w:hint="eastAsia" w:ascii="仿宋_GB2312" w:hAnsi="宋体" w:eastAsia="仿宋_GB2312"/>
          <w:b/>
          <w:bCs/>
          <w:sz w:val="28"/>
        </w:rPr>
        <w:t>二〇一七年</w:t>
      </w:r>
      <w:r>
        <w:rPr>
          <w:rFonts w:hint="eastAsia" w:ascii="仿宋_GB2312" w:hAnsi="宋体" w:eastAsia="仿宋_GB2312"/>
          <w:b/>
          <w:bCs/>
          <w:sz w:val="28"/>
          <w:lang w:eastAsia="zh-CN"/>
        </w:rPr>
        <w:t>十二</w:t>
      </w:r>
      <w:r>
        <w:rPr>
          <w:rFonts w:hint="eastAsia" w:ascii="仿宋_GB2312" w:hAnsi="宋体" w:eastAsia="仿宋_GB2312"/>
          <w:b/>
          <w:bCs/>
          <w:sz w:val="28"/>
        </w:rPr>
        <w:t>月</w:t>
      </w:r>
      <w:r>
        <w:rPr>
          <w:rFonts w:hint="eastAsia" w:ascii="仿宋_GB2312" w:hAnsi="宋体" w:eastAsia="仿宋_GB2312"/>
          <w:b/>
          <w:bCs/>
          <w:sz w:val="28"/>
          <w:lang w:eastAsia="zh-CN"/>
        </w:rPr>
        <w:t>四</w:t>
      </w:r>
      <w:r>
        <w:rPr>
          <w:rFonts w:hint="eastAsia" w:ascii="仿宋_GB2312" w:hAnsi="宋体" w:eastAsia="仿宋_GB2312"/>
          <w:b/>
          <w:bCs/>
          <w:sz w:val="28"/>
        </w:rPr>
        <w:t>日</w:t>
      </w:r>
    </w:p>
    <w:p>
      <w:pPr>
        <w:spacing w:after="156" w:afterLines="50"/>
        <w:jc w:val="center"/>
        <w:rPr>
          <w:rFonts w:ascii="黑体" w:hAnsi="黑体" w:eastAsia="黑体" w:cs="黑体"/>
          <w:sz w:val="52"/>
          <w:szCs w:val="52"/>
        </w:rPr>
        <w:sectPr>
          <w:headerReference r:id="rId4" w:type="first"/>
          <w:headerReference r:id="rId3" w:type="default"/>
          <w:footerReference r:id="rId5" w:type="default"/>
          <w:pgSz w:w="11906" w:h="16838"/>
          <w:pgMar w:top="1440" w:right="964" w:bottom="1440" w:left="918" w:header="851" w:footer="992" w:gutter="0"/>
          <w:pgNumType w:start="1"/>
          <w:cols w:space="720" w:num="1"/>
          <w:titlePg/>
          <w:docGrid w:type="lines" w:linePitch="312" w:charSpace="0"/>
        </w:sectPr>
      </w:pPr>
    </w:p>
    <w:p>
      <w:pPr>
        <w:spacing w:after="156" w:afterLines="50"/>
        <w:jc w:val="center"/>
        <w:rPr>
          <w:rFonts w:ascii="黑体" w:hAnsi="黑体" w:eastAsia="黑体" w:cs="黑体"/>
          <w:sz w:val="52"/>
          <w:szCs w:val="52"/>
        </w:rPr>
      </w:pPr>
      <w:r>
        <w:rPr>
          <w:rFonts w:hint="eastAsia" w:ascii="黑体" w:hAnsi="黑体" w:eastAsia="黑体" w:cs="黑体"/>
          <w:sz w:val="52"/>
          <w:szCs w:val="52"/>
        </w:rPr>
        <w:t>目  录</w:t>
      </w:r>
    </w:p>
    <w:p>
      <w:pPr>
        <w:pStyle w:val="20"/>
        <w:tabs>
          <w:tab w:val="right" w:leader="dot" w:pos="10014"/>
        </w:tabs>
        <w:spacing w:line="360" w:lineRule="auto"/>
        <w:rPr>
          <w:rFonts w:ascii="Calibri" w:hAnsi="Calibri"/>
          <w:sz w:val="24"/>
        </w:rPr>
      </w:pPr>
      <w:r>
        <w:rPr>
          <w:b/>
          <w:bCs/>
          <w:sz w:val="24"/>
        </w:rPr>
        <w:fldChar w:fldCharType="begin"/>
      </w:r>
      <w:r>
        <w:rPr>
          <w:b/>
          <w:bCs/>
          <w:sz w:val="24"/>
        </w:rPr>
        <w:instrText xml:space="preserve"> TOC \o "1-3" \h \z \u </w:instrText>
      </w:r>
      <w:r>
        <w:rPr>
          <w:b/>
          <w:bCs/>
          <w:sz w:val="24"/>
        </w:rPr>
        <w:fldChar w:fldCharType="separate"/>
      </w:r>
      <w:r>
        <w:fldChar w:fldCharType="begin"/>
      </w:r>
      <w:r>
        <w:instrText xml:space="preserve"> HYPERLINK \l "_Toc373500451" </w:instrText>
      </w:r>
      <w:r>
        <w:fldChar w:fldCharType="separate"/>
      </w:r>
      <w:r>
        <w:rPr>
          <w:rStyle w:val="25"/>
          <w:rFonts w:hint="eastAsia" w:ascii="黑体" w:hAnsi="黑体" w:eastAsia="黑体"/>
          <w:sz w:val="24"/>
        </w:rPr>
        <w:t>第一部分</w:t>
      </w:r>
      <w:r>
        <w:rPr>
          <w:rStyle w:val="25"/>
          <w:rFonts w:ascii="黑体" w:hAnsi="黑体" w:eastAsia="黑体"/>
          <w:sz w:val="24"/>
        </w:rPr>
        <w:t xml:space="preserve"> </w:t>
      </w:r>
      <w:r>
        <w:rPr>
          <w:rStyle w:val="25"/>
          <w:rFonts w:hint="eastAsia" w:ascii="黑体" w:hAnsi="黑体" w:eastAsia="黑体"/>
          <w:sz w:val="24"/>
        </w:rPr>
        <w:t>投标邀请书</w:t>
      </w:r>
      <w:r>
        <w:rPr>
          <w:sz w:val="24"/>
        </w:rPr>
        <w:tab/>
      </w:r>
      <w:r>
        <w:rPr>
          <w:sz w:val="24"/>
        </w:rPr>
        <w:fldChar w:fldCharType="begin"/>
      </w:r>
      <w:r>
        <w:rPr>
          <w:sz w:val="24"/>
        </w:rPr>
        <w:instrText xml:space="preserve"> PAGEREF _Toc373500451 \h </w:instrText>
      </w:r>
      <w:r>
        <w:rPr>
          <w:sz w:val="24"/>
        </w:rPr>
        <w:fldChar w:fldCharType="separate"/>
      </w:r>
      <w:r>
        <w:rPr>
          <w:sz w:val="24"/>
        </w:rPr>
        <w:t>2</w:t>
      </w:r>
      <w:r>
        <w:rPr>
          <w:sz w:val="24"/>
        </w:rPr>
        <w:fldChar w:fldCharType="end"/>
      </w:r>
      <w:r>
        <w:rPr>
          <w:sz w:val="24"/>
        </w:rPr>
        <w:fldChar w:fldCharType="end"/>
      </w:r>
    </w:p>
    <w:p>
      <w:pPr>
        <w:pStyle w:val="21"/>
        <w:tabs>
          <w:tab w:val="right" w:leader="dot" w:pos="10014"/>
        </w:tabs>
        <w:spacing w:line="360" w:lineRule="auto"/>
        <w:rPr>
          <w:rFonts w:ascii="Calibri" w:hAnsi="Calibri"/>
          <w:sz w:val="24"/>
        </w:rPr>
      </w:pPr>
      <w:r>
        <w:fldChar w:fldCharType="begin"/>
      </w:r>
      <w:r>
        <w:instrText xml:space="preserve"> HYPERLINK \l "_Toc373500452" </w:instrText>
      </w:r>
      <w:r>
        <w:fldChar w:fldCharType="separate"/>
      </w:r>
      <w:r>
        <w:rPr>
          <w:rStyle w:val="25"/>
          <w:rFonts w:hint="eastAsia" w:ascii="仿宋_GB2312" w:hAnsi="仿宋_GB2312" w:eastAsia="仿宋_GB2312"/>
          <w:sz w:val="24"/>
        </w:rPr>
        <w:t>一、招标项目</w:t>
      </w:r>
      <w:r>
        <w:rPr>
          <w:sz w:val="24"/>
        </w:rPr>
        <w:tab/>
      </w:r>
      <w:r>
        <w:rPr>
          <w:sz w:val="24"/>
        </w:rPr>
        <w:fldChar w:fldCharType="begin"/>
      </w:r>
      <w:r>
        <w:rPr>
          <w:sz w:val="24"/>
        </w:rPr>
        <w:instrText xml:space="preserve"> PAGEREF _Toc373500452 \h </w:instrText>
      </w:r>
      <w:r>
        <w:rPr>
          <w:sz w:val="24"/>
        </w:rPr>
        <w:fldChar w:fldCharType="separate"/>
      </w:r>
      <w:r>
        <w:rPr>
          <w:sz w:val="24"/>
        </w:rPr>
        <w:t>2</w:t>
      </w:r>
      <w:r>
        <w:rPr>
          <w:sz w:val="24"/>
        </w:rPr>
        <w:fldChar w:fldCharType="end"/>
      </w:r>
      <w:r>
        <w:rPr>
          <w:sz w:val="24"/>
        </w:rPr>
        <w:fldChar w:fldCharType="end"/>
      </w:r>
    </w:p>
    <w:p>
      <w:pPr>
        <w:pStyle w:val="21"/>
        <w:tabs>
          <w:tab w:val="right" w:leader="dot" w:pos="10014"/>
        </w:tabs>
        <w:spacing w:line="360" w:lineRule="auto"/>
        <w:rPr>
          <w:rFonts w:ascii="Calibri" w:hAnsi="Calibri"/>
          <w:sz w:val="24"/>
        </w:rPr>
      </w:pPr>
      <w:r>
        <w:fldChar w:fldCharType="begin"/>
      </w:r>
      <w:r>
        <w:instrText xml:space="preserve"> HYPERLINK \l "_Toc373500453" </w:instrText>
      </w:r>
      <w:r>
        <w:fldChar w:fldCharType="separate"/>
      </w:r>
      <w:r>
        <w:rPr>
          <w:rStyle w:val="25"/>
          <w:rFonts w:hint="eastAsia" w:ascii="仿宋_GB2312" w:hAnsi="仿宋_GB2312" w:eastAsia="仿宋_GB2312"/>
          <w:sz w:val="24"/>
        </w:rPr>
        <w:t>二、投标截止时间及方式</w:t>
      </w:r>
      <w:r>
        <w:rPr>
          <w:sz w:val="24"/>
        </w:rPr>
        <w:tab/>
      </w:r>
      <w:r>
        <w:rPr>
          <w:sz w:val="24"/>
        </w:rPr>
        <w:fldChar w:fldCharType="begin"/>
      </w:r>
      <w:r>
        <w:rPr>
          <w:sz w:val="24"/>
        </w:rPr>
        <w:instrText xml:space="preserve"> PAGEREF _Toc373500453 \h </w:instrText>
      </w:r>
      <w:r>
        <w:rPr>
          <w:sz w:val="24"/>
        </w:rPr>
        <w:fldChar w:fldCharType="separate"/>
      </w:r>
      <w:r>
        <w:rPr>
          <w:sz w:val="24"/>
        </w:rPr>
        <w:t>2</w:t>
      </w:r>
      <w:r>
        <w:rPr>
          <w:sz w:val="24"/>
        </w:rPr>
        <w:fldChar w:fldCharType="end"/>
      </w:r>
      <w:r>
        <w:rPr>
          <w:sz w:val="24"/>
        </w:rPr>
        <w:fldChar w:fldCharType="end"/>
      </w:r>
    </w:p>
    <w:p>
      <w:pPr>
        <w:pStyle w:val="21"/>
        <w:tabs>
          <w:tab w:val="right" w:leader="dot" w:pos="10014"/>
        </w:tabs>
        <w:spacing w:line="360" w:lineRule="auto"/>
        <w:rPr>
          <w:rFonts w:ascii="Calibri" w:hAnsi="Calibri"/>
          <w:sz w:val="24"/>
        </w:rPr>
      </w:pPr>
      <w:r>
        <w:fldChar w:fldCharType="begin"/>
      </w:r>
      <w:r>
        <w:instrText xml:space="preserve"> HYPERLINK \l "_Toc373500454" </w:instrText>
      </w:r>
      <w:r>
        <w:fldChar w:fldCharType="separate"/>
      </w:r>
      <w:r>
        <w:rPr>
          <w:rStyle w:val="25"/>
          <w:rFonts w:hint="eastAsia" w:ascii="仿宋_GB2312" w:hAnsi="仿宋_GB2312" w:eastAsia="仿宋_GB2312"/>
          <w:sz w:val="24"/>
        </w:rPr>
        <w:t>三、开标时间及地点</w:t>
      </w:r>
      <w:r>
        <w:rPr>
          <w:sz w:val="24"/>
        </w:rPr>
        <w:tab/>
      </w:r>
      <w:r>
        <w:rPr>
          <w:sz w:val="24"/>
        </w:rPr>
        <w:fldChar w:fldCharType="begin"/>
      </w:r>
      <w:r>
        <w:rPr>
          <w:sz w:val="24"/>
        </w:rPr>
        <w:instrText xml:space="preserve"> PAGEREF _Toc373500454 \h </w:instrText>
      </w:r>
      <w:r>
        <w:rPr>
          <w:sz w:val="24"/>
        </w:rPr>
        <w:fldChar w:fldCharType="separate"/>
      </w:r>
      <w:r>
        <w:rPr>
          <w:sz w:val="24"/>
        </w:rPr>
        <w:t>2</w:t>
      </w:r>
      <w:r>
        <w:rPr>
          <w:sz w:val="24"/>
        </w:rPr>
        <w:fldChar w:fldCharType="end"/>
      </w:r>
      <w:r>
        <w:rPr>
          <w:sz w:val="24"/>
        </w:rPr>
        <w:fldChar w:fldCharType="end"/>
      </w:r>
    </w:p>
    <w:p>
      <w:pPr>
        <w:pStyle w:val="21"/>
        <w:tabs>
          <w:tab w:val="right" w:leader="dot" w:pos="10014"/>
        </w:tabs>
        <w:spacing w:line="360" w:lineRule="auto"/>
        <w:rPr>
          <w:rFonts w:ascii="Calibri" w:hAnsi="Calibri"/>
          <w:sz w:val="24"/>
        </w:rPr>
      </w:pPr>
      <w:r>
        <w:fldChar w:fldCharType="begin"/>
      </w:r>
      <w:r>
        <w:instrText xml:space="preserve"> HYPERLINK \l "_Toc373500455" </w:instrText>
      </w:r>
      <w:r>
        <w:fldChar w:fldCharType="separate"/>
      </w:r>
      <w:r>
        <w:rPr>
          <w:rStyle w:val="25"/>
          <w:rFonts w:hint="eastAsia" w:ascii="仿宋_GB2312" w:hAnsi="仿宋_GB2312" w:eastAsia="仿宋_GB2312"/>
          <w:sz w:val="24"/>
        </w:rPr>
        <w:t>四、联系方式</w:t>
      </w:r>
      <w:r>
        <w:rPr>
          <w:sz w:val="24"/>
        </w:rPr>
        <w:tab/>
      </w:r>
      <w:r>
        <w:rPr>
          <w:sz w:val="24"/>
        </w:rPr>
        <w:fldChar w:fldCharType="begin"/>
      </w:r>
      <w:r>
        <w:rPr>
          <w:sz w:val="24"/>
        </w:rPr>
        <w:instrText xml:space="preserve"> PAGEREF _Toc373500455 \h </w:instrText>
      </w:r>
      <w:r>
        <w:rPr>
          <w:sz w:val="24"/>
        </w:rPr>
        <w:fldChar w:fldCharType="separate"/>
      </w:r>
      <w:r>
        <w:rPr>
          <w:sz w:val="24"/>
        </w:rPr>
        <w:t>2</w:t>
      </w:r>
      <w:r>
        <w:rPr>
          <w:sz w:val="24"/>
        </w:rPr>
        <w:fldChar w:fldCharType="end"/>
      </w:r>
      <w:r>
        <w:rPr>
          <w:sz w:val="24"/>
        </w:rPr>
        <w:fldChar w:fldCharType="end"/>
      </w:r>
    </w:p>
    <w:p>
      <w:pPr>
        <w:pStyle w:val="20"/>
        <w:tabs>
          <w:tab w:val="right" w:leader="dot" w:pos="10014"/>
        </w:tabs>
        <w:spacing w:line="360" w:lineRule="auto"/>
        <w:rPr>
          <w:rFonts w:ascii="Calibri" w:hAnsi="Calibri"/>
          <w:sz w:val="24"/>
        </w:rPr>
      </w:pPr>
      <w:r>
        <w:fldChar w:fldCharType="begin"/>
      </w:r>
      <w:r>
        <w:instrText xml:space="preserve"> HYPERLINK \l "_Toc373500456" </w:instrText>
      </w:r>
      <w:r>
        <w:fldChar w:fldCharType="separate"/>
      </w:r>
      <w:r>
        <w:rPr>
          <w:rStyle w:val="25"/>
          <w:rFonts w:hint="eastAsia" w:ascii="黑体" w:hAnsi="黑体" w:eastAsia="黑体" w:cs="黑体"/>
          <w:sz w:val="24"/>
        </w:rPr>
        <w:t>第二部分</w:t>
      </w:r>
      <w:r>
        <w:rPr>
          <w:rStyle w:val="25"/>
          <w:rFonts w:ascii="黑体" w:hAnsi="黑体" w:eastAsia="黑体" w:cs="黑体"/>
          <w:sz w:val="24"/>
        </w:rPr>
        <w:t xml:space="preserve"> </w:t>
      </w:r>
      <w:r>
        <w:rPr>
          <w:rStyle w:val="25"/>
          <w:rFonts w:hint="eastAsia" w:ascii="黑体" w:hAnsi="黑体" w:eastAsia="黑体" w:cs="黑体"/>
          <w:sz w:val="24"/>
        </w:rPr>
        <w:t>投标须知</w:t>
      </w:r>
      <w:r>
        <w:rPr>
          <w:sz w:val="24"/>
        </w:rPr>
        <w:tab/>
      </w:r>
      <w:r>
        <w:rPr>
          <w:sz w:val="24"/>
        </w:rPr>
        <w:fldChar w:fldCharType="begin"/>
      </w:r>
      <w:r>
        <w:rPr>
          <w:sz w:val="24"/>
        </w:rPr>
        <w:instrText xml:space="preserve"> PAGEREF _Toc373500456 \h </w:instrText>
      </w:r>
      <w:r>
        <w:rPr>
          <w:sz w:val="24"/>
        </w:rPr>
        <w:fldChar w:fldCharType="separate"/>
      </w:r>
      <w:r>
        <w:rPr>
          <w:sz w:val="24"/>
        </w:rPr>
        <w:t>3</w:t>
      </w:r>
      <w:r>
        <w:rPr>
          <w:sz w:val="24"/>
        </w:rPr>
        <w:fldChar w:fldCharType="end"/>
      </w:r>
      <w:r>
        <w:rPr>
          <w:sz w:val="24"/>
        </w:rPr>
        <w:fldChar w:fldCharType="end"/>
      </w:r>
    </w:p>
    <w:p>
      <w:pPr>
        <w:pStyle w:val="21"/>
        <w:tabs>
          <w:tab w:val="right" w:leader="dot" w:pos="10014"/>
        </w:tabs>
        <w:spacing w:line="360" w:lineRule="auto"/>
        <w:rPr>
          <w:rFonts w:ascii="Calibri" w:hAnsi="Calibri"/>
          <w:sz w:val="24"/>
        </w:rPr>
      </w:pPr>
      <w:r>
        <w:fldChar w:fldCharType="begin"/>
      </w:r>
      <w:r>
        <w:instrText xml:space="preserve"> HYPERLINK \l "_Toc373500457" </w:instrText>
      </w:r>
      <w:r>
        <w:fldChar w:fldCharType="separate"/>
      </w:r>
      <w:r>
        <w:rPr>
          <w:rStyle w:val="25"/>
          <w:rFonts w:hint="eastAsia" w:ascii="仿宋_GB2312" w:hAnsi="仿宋_GB2312" w:eastAsia="仿宋_GB2312"/>
          <w:b/>
          <w:bCs/>
          <w:sz w:val="24"/>
        </w:rPr>
        <w:t>一、概述</w:t>
      </w:r>
      <w:r>
        <w:rPr>
          <w:sz w:val="24"/>
        </w:rPr>
        <w:tab/>
      </w:r>
      <w:r>
        <w:rPr>
          <w:sz w:val="24"/>
        </w:rPr>
        <w:fldChar w:fldCharType="begin"/>
      </w:r>
      <w:r>
        <w:rPr>
          <w:sz w:val="24"/>
        </w:rPr>
        <w:instrText xml:space="preserve"> PAGEREF _Toc373500457 \h </w:instrText>
      </w:r>
      <w:r>
        <w:rPr>
          <w:sz w:val="24"/>
        </w:rPr>
        <w:fldChar w:fldCharType="separate"/>
      </w:r>
      <w:r>
        <w:rPr>
          <w:sz w:val="24"/>
        </w:rPr>
        <w:t>3</w:t>
      </w:r>
      <w:r>
        <w:rPr>
          <w:sz w:val="24"/>
        </w:rPr>
        <w:fldChar w:fldCharType="end"/>
      </w:r>
      <w:r>
        <w:rPr>
          <w:sz w:val="24"/>
        </w:rPr>
        <w:fldChar w:fldCharType="end"/>
      </w:r>
    </w:p>
    <w:p>
      <w:pPr>
        <w:pStyle w:val="21"/>
        <w:tabs>
          <w:tab w:val="right" w:leader="dot" w:pos="10014"/>
        </w:tabs>
        <w:spacing w:line="360" w:lineRule="auto"/>
        <w:rPr>
          <w:rFonts w:ascii="Calibri" w:hAnsi="Calibri"/>
          <w:sz w:val="24"/>
        </w:rPr>
      </w:pPr>
      <w:r>
        <w:fldChar w:fldCharType="begin"/>
      </w:r>
      <w:r>
        <w:instrText xml:space="preserve"> HYPERLINK \l "_Toc373500458" </w:instrText>
      </w:r>
      <w:r>
        <w:fldChar w:fldCharType="separate"/>
      </w:r>
      <w:r>
        <w:rPr>
          <w:rStyle w:val="25"/>
          <w:rFonts w:hint="eastAsia" w:ascii="仿宋_GB2312" w:hAnsi="仿宋_GB2312" w:eastAsia="仿宋_GB2312"/>
          <w:b/>
          <w:bCs/>
          <w:sz w:val="24"/>
        </w:rPr>
        <w:t>二、招标文件</w:t>
      </w:r>
      <w:r>
        <w:rPr>
          <w:sz w:val="24"/>
        </w:rPr>
        <w:tab/>
      </w:r>
      <w:r>
        <w:rPr>
          <w:sz w:val="24"/>
        </w:rPr>
        <w:fldChar w:fldCharType="begin"/>
      </w:r>
      <w:r>
        <w:rPr>
          <w:sz w:val="24"/>
        </w:rPr>
        <w:instrText xml:space="preserve"> PAGEREF _Toc373500458 \h </w:instrText>
      </w:r>
      <w:r>
        <w:rPr>
          <w:sz w:val="24"/>
        </w:rPr>
        <w:fldChar w:fldCharType="separate"/>
      </w:r>
      <w:r>
        <w:rPr>
          <w:sz w:val="24"/>
        </w:rPr>
        <w:t>4</w:t>
      </w:r>
      <w:r>
        <w:rPr>
          <w:sz w:val="24"/>
        </w:rPr>
        <w:fldChar w:fldCharType="end"/>
      </w:r>
      <w:r>
        <w:rPr>
          <w:sz w:val="24"/>
        </w:rPr>
        <w:fldChar w:fldCharType="end"/>
      </w:r>
    </w:p>
    <w:p>
      <w:pPr>
        <w:pStyle w:val="21"/>
        <w:tabs>
          <w:tab w:val="right" w:leader="dot" w:pos="10014"/>
        </w:tabs>
        <w:spacing w:line="360" w:lineRule="auto"/>
        <w:rPr>
          <w:rFonts w:ascii="Calibri" w:hAnsi="Calibri"/>
          <w:sz w:val="24"/>
        </w:rPr>
      </w:pPr>
      <w:r>
        <w:fldChar w:fldCharType="begin"/>
      </w:r>
      <w:r>
        <w:instrText xml:space="preserve"> HYPERLINK \l "_Toc373500459" </w:instrText>
      </w:r>
      <w:r>
        <w:fldChar w:fldCharType="separate"/>
      </w:r>
      <w:r>
        <w:rPr>
          <w:rStyle w:val="25"/>
          <w:rFonts w:hint="eastAsia" w:ascii="仿宋_GB2312" w:hAnsi="仿宋_GB2312" w:eastAsia="仿宋_GB2312"/>
          <w:b/>
          <w:bCs/>
          <w:sz w:val="24"/>
        </w:rPr>
        <w:t>三、投标文件</w:t>
      </w:r>
      <w:r>
        <w:rPr>
          <w:sz w:val="24"/>
        </w:rPr>
        <w:tab/>
      </w:r>
      <w:r>
        <w:rPr>
          <w:sz w:val="24"/>
        </w:rPr>
        <w:fldChar w:fldCharType="begin"/>
      </w:r>
      <w:r>
        <w:rPr>
          <w:sz w:val="24"/>
        </w:rPr>
        <w:instrText xml:space="preserve"> PAGEREF _Toc373500459 \h </w:instrText>
      </w:r>
      <w:r>
        <w:rPr>
          <w:sz w:val="24"/>
        </w:rPr>
        <w:fldChar w:fldCharType="separate"/>
      </w:r>
      <w:r>
        <w:rPr>
          <w:sz w:val="24"/>
        </w:rPr>
        <w:t>5</w:t>
      </w:r>
      <w:r>
        <w:rPr>
          <w:sz w:val="24"/>
        </w:rPr>
        <w:fldChar w:fldCharType="end"/>
      </w:r>
      <w:r>
        <w:rPr>
          <w:sz w:val="24"/>
        </w:rPr>
        <w:fldChar w:fldCharType="end"/>
      </w:r>
    </w:p>
    <w:p>
      <w:pPr>
        <w:pStyle w:val="21"/>
        <w:tabs>
          <w:tab w:val="right" w:leader="dot" w:pos="10014"/>
        </w:tabs>
        <w:spacing w:line="360" w:lineRule="auto"/>
        <w:rPr>
          <w:rFonts w:ascii="Calibri" w:hAnsi="Calibri"/>
          <w:sz w:val="24"/>
        </w:rPr>
      </w:pPr>
      <w:r>
        <w:fldChar w:fldCharType="begin"/>
      </w:r>
      <w:r>
        <w:instrText xml:space="preserve"> HYPERLINK \l "_Toc373500460" </w:instrText>
      </w:r>
      <w:r>
        <w:fldChar w:fldCharType="separate"/>
      </w:r>
      <w:r>
        <w:rPr>
          <w:rStyle w:val="25"/>
          <w:rFonts w:hint="eastAsia" w:ascii="仿宋_GB2312" w:hAnsi="仿宋_GB2312" w:eastAsia="仿宋_GB2312"/>
          <w:b/>
          <w:bCs/>
          <w:sz w:val="24"/>
        </w:rPr>
        <w:t>四、开标及评标</w:t>
      </w:r>
      <w:r>
        <w:rPr>
          <w:sz w:val="24"/>
        </w:rPr>
        <w:tab/>
      </w:r>
      <w:r>
        <w:rPr>
          <w:rFonts w:hint="eastAsia"/>
          <w:sz w:val="24"/>
          <w:lang w:val="en-US" w:eastAsia="zh-CN"/>
        </w:rPr>
        <w:t>8</w:t>
      </w:r>
      <w:r>
        <w:rPr>
          <w:sz w:val="24"/>
        </w:rPr>
        <w:fldChar w:fldCharType="end"/>
      </w:r>
    </w:p>
    <w:p>
      <w:pPr>
        <w:pStyle w:val="20"/>
        <w:tabs>
          <w:tab w:val="right" w:leader="dot" w:pos="10014"/>
        </w:tabs>
        <w:spacing w:line="360" w:lineRule="auto"/>
        <w:rPr>
          <w:rFonts w:ascii="Calibri" w:hAnsi="Calibri"/>
          <w:sz w:val="24"/>
        </w:rPr>
      </w:pPr>
      <w:r>
        <w:fldChar w:fldCharType="begin"/>
      </w:r>
      <w:r>
        <w:instrText xml:space="preserve"> HYPERLINK \l "_Toc373500461" </w:instrText>
      </w:r>
      <w:r>
        <w:fldChar w:fldCharType="separate"/>
      </w:r>
      <w:r>
        <w:rPr>
          <w:rStyle w:val="25"/>
          <w:rFonts w:hint="eastAsia" w:ascii="黑体" w:hAnsi="黑体" w:eastAsia="黑体" w:cs="黑体"/>
          <w:sz w:val="24"/>
        </w:rPr>
        <w:t>第三部分</w:t>
      </w:r>
      <w:r>
        <w:rPr>
          <w:rStyle w:val="25"/>
          <w:rFonts w:ascii="黑体" w:hAnsi="黑体" w:eastAsia="黑体" w:cs="黑体"/>
          <w:sz w:val="24"/>
        </w:rPr>
        <w:t xml:space="preserve"> </w:t>
      </w:r>
      <w:r>
        <w:rPr>
          <w:rStyle w:val="25"/>
          <w:rFonts w:hint="eastAsia" w:ascii="黑体" w:hAnsi="黑体" w:eastAsia="黑体" w:cs="黑体"/>
          <w:sz w:val="24"/>
        </w:rPr>
        <w:t>招标项目清单及</w:t>
      </w:r>
      <w:r>
        <w:rPr>
          <w:rStyle w:val="25"/>
          <w:rFonts w:hint="eastAsia" w:ascii="黑体" w:hAnsi="黑体" w:eastAsia="黑体" w:cs="黑体"/>
          <w:sz w:val="24"/>
          <w:lang w:eastAsia="zh-CN"/>
        </w:rPr>
        <w:t>服务</w:t>
      </w:r>
      <w:r>
        <w:rPr>
          <w:rStyle w:val="25"/>
          <w:rFonts w:hint="eastAsia" w:ascii="黑体" w:hAnsi="黑体" w:eastAsia="黑体" w:cs="黑体"/>
          <w:sz w:val="24"/>
        </w:rPr>
        <w:t>要求</w:t>
      </w:r>
      <w:r>
        <w:rPr>
          <w:sz w:val="24"/>
        </w:rPr>
        <w:tab/>
      </w:r>
      <w:r>
        <w:rPr>
          <w:rFonts w:hint="eastAsia"/>
          <w:sz w:val="24"/>
          <w:lang w:val="en-US" w:eastAsia="zh-CN"/>
        </w:rPr>
        <w:t>9</w:t>
      </w:r>
      <w:r>
        <w:rPr>
          <w:rFonts w:hint="eastAsia"/>
          <w:sz w:val="24"/>
        </w:rPr>
        <w:fldChar w:fldCharType="end"/>
      </w:r>
    </w:p>
    <w:p>
      <w:pPr>
        <w:pStyle w:val="20"/>
        <w:tabs>
          <w:tab w:val="right" w:leader="dot" w:pos="10014"/>
        </w:tabs>
        <w:spacing w:line="360" w:lineRule="auto"/>
        <w:rPr>
          <w:rFonts w:ascii="Calibri" w:hAnsi="Calibri"/>
          <w:sz w:val="24"/>
        </w:rPr>
      </w:pPr>
      <w:r>
        <w:fldChar w:fldCharType="begin"/>
      </w:r>
      <w:r>
        <w:instrText xml:space="preserve"> HYPERLINK \l "_Toc373500462" </w:instrText>
      </w:r>
      <w:r>
        <w:fldChar w:fldCharType="separate"/>
      </w:r>
      <w:r>
        <w:rPr>
          <w:rStyle w:val="25"/>
          <w:rFonts w:hint="eastAsia" w:ascii="黑体" w:hAnsi="黑体" w:eastAsia="黑体" w:cs="黑体"/>
          <w:sz w:val="24"/>
        </w:rPr>
        <w:t>第四部分</w:t>
      </w:r>
      <w:r>
        <w:rPr>
          <w:rStyle w:val="25"/>
          <w:rFonts w:ascii="黑体" w:hAnsi="黑体" w:eastAsia="黑体" w:cs="黑体"/>
          <w:sz w:val="24"/>
        </w:rPr>
        <w:t xml:space="preserve"> </w:t>
      </w:r>
      <w:r>
        <w:rPr>
          <w:rStyle w:val="25"/>
          <w:rFonts w:hint="eastAsia" w:ascii="黑体" w:hAnsi="黑体" w:eastAsia="黑体" w:cs="黑体"/>
          <w:sz w:val="24"/>
        </w:rPr>
        <w:t>合同主要条款</w:t>
      </w:r>
      <w:r>
        <w:rPr>
          <w:sz w:val="24"/>
        </w:rPr>
        <w:tab/>
      </w:r>
      <w:r>
        <w:rPr>
          <w:rFonts w:hint="eastAsia"/>
          <w:sz w:val="24"/>
        </w:rPr>
        <w:t>1</w:t>
      </w:r>
      <w:r>
        <w:rPr>
          <w:rFonts w:hint="eastAsia"/>
          <w:sz w:val="24"/>
        </w:rPr>
        <w:fldChar w:fldCharType="end"/>
      </w:r>
      <w:r>
        <w:rPr>
          <w:rFonts w:hint="eastAsia"/>
          <w:sz w:val="24"/>
          <w:lang w:val="en-US" w:eastAsia="zh-CN"/>
        </w:rPr>
        <w:t xml:space="preserve">2 </w:t>
      </w:r>
    </w:p>
    <w:p>
      <w:pPr>
        <w:pStyle w:val="20"/>
        <w:tabs>
          <w:tab w:val="right" w:leader="dot" w:pos="10014"/>
        </w:tabs>
        <w:spacing w:line="360" w:lineRule="auto"/>
        <w:rPr>
          <w:rFonts w:ascii="Calibri" w:hAnsi="Calibri"/>
          <w:sz w:val="24"/>
        </w:rPr>
      </w:pPr>
      <w:r>
        <w:fldChar w:fldCharType="begin"/>
      </w:r>
      <w:r>
        <w:instrText xml:space="preserve"> HYPERLINK \l "_Toc373500467" </w:instrText>
      </w:r>
      <w:r>
        <w:fldChar w:fldCharType="separate"/>
      </w:r>
      <w:r>
        <w:rPr>
          <w:rStyle w:val="25"/>
          <w:rFonts w:hint="eastAsia" w:ascii="黑体" w:hAnsi="黑体" w:eastAsia="黑体" w:cs="黑体"/>
          <w:sz w:val="24"/>
        </w:rPr>
        <w:t>第五部分</w:t>
      </w:r>
      <w:r>
        <w:rPr>
          <w:rStyle w:val="25"/>
          <w:rFonts w:ascii="黑体" w:hAnsi="黑体" w:eastAsia="黑体" w:cs="黑体"/>
          <w:sz w:val="24"/>
        </w:rPr>
        <w:t xml:space="preserve"> </w:t>
      </w:r>
      <w:r>
        <w:rPr>
          <w:rStyle w:val="25"/>
          <w:rFonts w:hint="eastAsia" w:ascii="黑体" w:hAnsi="黑体" w:eastAsia="黑体" w:cs="黑体"/>
          <w:sz w:val="24"/>
        </w:rPr>
        <w:t>附件</w:t>
      </w:r>
      <w:r>
        <w:rPr>
          <w:sz w:val="24"/>
        </w:rPr>
        <w:tab/>
      </w:r>
      <w:r>
        <w:rPr>
          <w:rFonts w:hint="eastAsia"/>
          <w:sz w:val="24"/>
          <w:lang w:val="en-US" w:eastAsia="zh-CN"/>
        </w:rPr>
        <w:t>1</w:t>
      </w:r>
      <w:r>
        <w:rPr>
          <w:rFonts w:hint="eastAsia"/>
          <w:sz w:val="24"/>
        </w:rPr>
        <w:fldChar w:fldCharType="end"/>
      </w:r>
      <w:r>
        <w:rPr>
          <w:rFonts w:hint="eastAsia"/>
          <w:sz w:val="24"/>
          <w:lang w:val="en-US" w:eastAsia="zh-CN"/>
        </w:rPr>
        <w:t>3</w:t>
      </w:r>
    </w:p>
    <w:p>
      <w:pPr>
        <w:pStyle w:val="21"/>
        <w:tabs>
          <w:tab w:val="right" w:leader="dot" w:pos="10014"/>
        </w:tabs>
        <w:spacing w:line="360" w:lineRule="auto"/>
        <w:rPr>
          <w:rFonts w:ascii="Calibri" w:hAnsi="Calibri"/>
          <w:sz w:val="24"/>
        </w:rPr>
      </w:pPr>
      <w:r>
        <w:fldChar w:fldCharType="begin"/>
      </w:r>
      <w:r>
        <w:instrText xml:space="preserve"> HYPERLINK \l "_Toc373500468" </w:instrText>
      </w:r>
      <w:r>
        <w:fldChar w:fldCharType="separate"/>
      </w:r>
      <w:r>
        <w:rPr>
          <w:rStyle w:val="25"/>
          <w:rFonts w:hint="eastAsia" w:ascii="仿宋" w:hAnsi="仿宋" w:eastAsia="仿宋" w:cs="仿宋"/>
          <w:b/>
          <w:sz w:val="24"/>
        </w:rPr>
        <w:t>开标一览表</w:t>
      </w:r>
      <w:r>
        <w:rPr>
          <w:sz w:val="24"/>
        </w:rPr>
        <w:tab/>
      </w:r>
      <w:r>
        <w:rPr>
          <w:sz w:val="24"/>
        </w:rPr>
        <w:fldChar w:fldCharType="end"/>
      </w:r>
      <w:r>
        <w:rPr>
          <w:rFonts w:hint="eastAsia"/>
          <w:sz w:val="24"/>
          <w:lang w:val="en-US" w:eastAsia="zh-CN"/>
        </w:rPr>
        <w:t xml:space="preserve">14  </w:t>
      </w:r>
    </w:p>
    <w:p>
      <w:pPr>
        <w:pStyle w:val="21"/>
        <w:tabs>
          <w:tab w:val="right" w:leader="dot" w:pos="10014"/>
        </w:tabs>
        <w:spacing w:line="360" w:lineRule="auto"/>
        <w:rPr>
          <w:rFonts w:ascii="Calibri" w:hAnsi="Calibri"/>
          <w:sz w:val="24"/>
        </w:rPr>
      </w:pPr>
      <w:r>
        <w:fldChar w:fldCharType="begin"/>
      </w:r>
      <w:r>
        <w:instrText xml:space="preserve"> HYPERLINK \l "_Toc373500469" </w:instrText>
      </w:r>
      <w:r>
        <w:fldChar w:fldCharType="separate"/>
      </w:r>
      <w:r>
        <w:rPr>
          <w:rStyle w:val="25"/>
          <w:rFonts w:hint="eastAsia" w:ascii="仿宋" w:hAnsi="仿宋" w:eastAsia="仿宋" w:cs="仿宋"/>
          <w:b/>
          <w:sz w:val="24"/>
        </w:rPr>
        <w:t>投标函</w:t>
      </w:r>
      <w:r>
        <w:rPr>
          <w:sz w:val="24"/>
        </w:rPr>
        <w:tab/>
      </w:r>
      <w:r>
        <w:rPr>
          <w:sz w:val="24"/>
        </w:rPr>
        <w:fldChar w:fldCharType="end"/>
      </w:r>
      <w:r>
        <w:rPr>
          <w:rFonts w:hint="eastAsia"/>
          <w:sz w:val="24"/>
          <w:lang w:val="en-US" w:eastAsia="zh-CN"/>
        </w:rPr>
        <w:t>15</w:t>
      </w:r>
    </w:p>
    <w:p>
      <w:pPr>
        <w:tabs>
          <w:tab w:val="left" w:pos="8545"/>
        </w:tabs>
        <w:spacing w:after="156" w:afterLines="50" w:line="360" w:lineRule="auto"/>
        <w:rPr>
          <w:b/>
          <w:bCs/>
          <w:sz w:val="24"/>
        </w:rPr>
      </w:pPr>
      <w:r>
        <w:rPr>
          <w:b/>
          <w:bCs/>
          <w:sz w:val="24"/>
        </w:rPr>
        <w:fldChar w:fldCharType="end"/>
      </w:r>
      <w:r>
        <w:rPr>
          <w:rFonts w:hint="eastAsia"/>
          <w:b/>
          <w:bCs/>
          <w:sz w:val="24"/>
        </w:rPr>
        <w:tab/>
      </w:r>
    </w:p>
    <w:p>
      <w:pPr>
        <w:widowControl/>
        <w:jc w:val="right"/>
        <w:rPr>
          <w:rFonts w:ascii="黑体" w:hAnsi="黑体" w:eastAsia="黑体"/>
        </w:rPr>
      </w:pPr>
      <w:bookmarkStart w:id="0" w:name="_Toc373486298"/>
      <w:bookmarkStart w:id="1" w:name="_Toc1640"/>
      <w:bookmarkStart w:id="2" w:name="_Toc373500451"/>
      <w:bookmarkStart w:id="3" w:name="_Toc373485985"/>
      <w:bookmarkStart w:id="46" w:name="_GoBack"/>
      <w:bookmarkEnd w:id="46"/>
    </w:p>
    <w:p/>
    <w:p/>
    <w:p/>
    <w:p/>
    <w:p/>
    <w:p>
      <w:pPr>
        <w:jc w:val="left"/>
      </w:pPr>
      <w:r>
        <w:br w:type="page"/>
      </w:r>
      <w:r>
        <w:rPr>
          <w:rFonts w:hint="eastAsia"/>
        </w:rPr>
        <w:tab/>
      </w:r>
    </w:p>
    <w:p>
      <w:pPr>
        <w:pStyle w:val="2"/>
        <w:jc w:val="center"/>
        <w:rPr>
          <w:rFonts w:ascii="仿宋_GB2312" w:hAnsi="仿宋_GB2312" w:eastAsia="仿宋_GB2312"/>
          <w:sz w:val="28"/>
        </w:rPr>
      </w:pPr>
      <w:r>
        <w:rPr>
          <w:rFonts w:hint="eastAsia" w:ascii="黑体" w:hAnsi="黑体" w:eastAsia="黑体"/>
        </w:rPr>
        <w:t>第一部分 投标邀请书</w:t>
      </w:r>
      <w:bookmarkEnd w:id="0"/>
      <w:bookmarkEnd w:id="1"/>
      <w:bookmarkEnd w:id="2"/>
      <w:bookmarkEnd w:id="3"/>
    </w:p>
    <w:p>
      <w:pPr>
        <w:spacing w:after="50" w:line="600" w:lineRule="exact"/>
        <w:ind w:firstLine="280" w:firstLineChars="100"/>
        <w:jc w:val="center"/>
        <w:rPr>
          <w:rFonts w:ascii="仿宋_GB2312" w:hAnsi="宋体" w:eastAsia="仿宋_GB2312"/>
          <w:sz w:val="32"/>
          <w:szCs w:val="22"/>
        </w:rPr>
      </w:pPr>
      <w:r>
        <w:rPr>
          <w:rFonts w:hint="eastAsia" w:ascii="仿宋_GB2312" w:hAnsi="仿宋_GB2312" w:eastAsia="仿宋_GB2312"/>
          <w:sz w:val="28"/>
        </w:rPr>
        <w:t>根据中山大学新华学院2017年关于</w:t>
      </w:r>
      <w:r>
        <w:rPr>
          <w:rFonts w:hint="eastAsia" w:ascii="华文仿宋" w:hAnsi="华文仿宋" w:eastAsia="华文仿宋" w:cs="华文仿宋"/>
          <w:sz w:val="28"/>
          <w:szCs w:val="28"/>
          <w:u w:val="single"/>
          <w:lang w:eastAsia="zh-CN"/>
        </w:rPr>
        <w:t>校</w:t>
      </w:r>
      <w:r>
        <w:rPr>
          <w:rFonts w:hint="eastAsia" w:ascii="仿宋" w:hAnsi="仿宋" w:eastAsia="仿宋" w:cs="仿宋"/>
          <w:sz w:val="28"/>
          <w:szCs w:val="21"/>
          <w:u w:val="single"/>
        </w:rPr>
        <w:t>园林.绿化.中药园种值养护服务</w:t>
      </w:r>
      <w:r>
        <w:rPr>
          <w:rFonts w:hint="eastAsia" w:ascii="仿宋" w:hAnsi="仿宋" w:eastAsia="仿宋" w:cs="仿宋"/>
          <w:sz w:val="28"/>
          <w:szCs w:val="28"/>
          <w:u w:val="single"/>
        </w:rPr>
        <w:t>项目</w:t>
      </w:r>
    </w:p>
    <w:p>
      <w:pPr>
        <w:rPr>
          <w:rFonts w:ascii="仿宋_GB2312" w:hAnsi="仿宋_GB2312" w:eastAsia="仿宋_GB2312"/>
          <w:sz w:val="28"/>
        </w:rPr>
      </w:pPr>
      <w:r>
        <w:rPr>
          <w:rFonts w:hint="eastAsia" w:ascii="仿宋_GB2312" w:hAnsi="仿宋_GB2312" w:eastAsia="仿宋_GB2312"/>
          <w:sz w:val="28"/>
          <w:lang w:eastAsia="zh-CN"/>
        </w:rPr>
        <w:t>招标</w:t>
      </w:r>
      <w:r>
        <w:rPr>
          <w:rFonts w:hint="eastAsia" w:ascii="仿宋_GB2312" w:hAnsi="仿宋_GB2312" w:eastAsia="仿宋_GB2312"/>
          <w:sz w:val="28"/>
        </w:rPr>
        <w:t>计划，我中心拟通过公开招标的方式选定投标单位，现邀请贵公司参加该项目的投标。</w:t>
      </w:r>
    </w:p>
    <w:p>
      <w:pPr>
        <w:ind w:firstLine="560" w:firstLineChars="200"/>
        <w:outlineLvl w:val="1"/>
        <w:rPr>
          <w:rFonts w:ascii="仿宋_GB2312" w:hAnsi="仿宋_GB2312" w:eastAsia="仿宋_GB2312"/>
          <w:sz w:val="28"/>
        </w:rPr>
      </w:pPr>
      <w:bookmarkStart w:id="4" w:name="_Toc373486299"/>
      <w:bookmarkStart w:id="5" w:name="_Toc373500452"/>
      <w:bookmarkStart w:id="6" w:name="_Toc373485986"/>
      <w:r>
        <w:rPr>
          <w:rFonts w:hint="eastAsia" w:ascii="仿宋_GB2312" w:hAnsi="仿宋_GB2312" w:eastAsia="仿宋_GB2312"/>
          <w:sz w:val="28"/>
        </w:rPr>
        <w:t>一、招标项目</w:t>
      </w:r>
      <w:bookmarkEnd w:id="4"/>
      <w:bookmarkEnd w:id="5"/>
      <w:bookmarkEnd w:id="6"/>
    </w:p>
    <w:p>
      <w:pPr>
        <w:tabs>
          <w:tab w:val="left" w:pos="425"/>
        </w:tabs>
        <w:ind w:firstLine="560" w:firstLineChars="200"/>
        <w:rPr>
          <w:rFonts w:hint="eastAsia" w:ascii="仿宋" w:hAnsi="仿宋" w:eastAsia="仿宋" w:cs="仿宋"/>
          <w:sz w:val="28"/>
          <w:szCs w:val="28"/>
          <w:u w:val="single"/>
        </w:rPr>
      </w:pPr>
      <w:r>
        <w:rPr>
          <w:rFonts w:hint="eastAsia" w:ascii="仿宋_GB2312" w:hAnsi="仿宋_GB2312" w:eastAsia="仿宋_GB2312"/>
          <w:sz w:val="28"/>
        </w:rPr>
        <w:t>（一）项目名称：</w:t>
      </w:r>
      <w:r>
        <w:rPr>
          <w:rFonts w:hint="eastAsia" w:ascii="华文仿宋" w:hAnsi="华文仿宋" w:eastAsia="华文仿宋" w:cs="华文仿宋"/>
          <w:sz w:val="28"/>
          <w:szCs w:val="28"/>
          <w:u w:val="single"/>
          <w:lang w:eastAsia="zh-CN"/>
        </w:rPr>
        <w:t>校</w:t>
      </w:r>
      <w:r>
        <w:rPr>
          <w:rFonts w:hint="eastAsia" w:ascii="仿宋" w:hAnsi="仿宋" w:eastAsia="仿宋" w:cs="仿宋"/>
          <w:sz w:val="28"/>
          <w:szCs w:val="21"/>
          <w:u w:val="single"/>
        </w:rPr>
        <w:t>园林.绿化.中药园种值养护服务</w:t>
      </w:r>
      <w:r>
        <w:rPr>
          <w:rFonts w:hint="eastAsia" w:ascii="仿宋" w:hAnsi="仿宋" w:eastAsia="仿宋" w:cs="仿宋"/>
          <w:sz w:val="28"/>
          <w:szCs w:val="28"/>
          <w:u w:val="single"/>
        </w:rPr>
        <w:t>项目</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（二）项目内容：详见招标清单及</w:t>
      </w:r>
      <w:r>
        <w:rPr>
          <w:rFonts w:hint="eastAsia" w:ascii="仿宋_GB2312" w:hAnsi="仿宋_GB2312" w:eastAsia="仿宋_GB2312"/>
          <w:sz w:val="28"/>
          <w:lang w:eastAsia="zh-CN"/>
        </w:rPr>
        <w:t>服务</w:t>
      </w:r>
      <w:r>
        <w:rPr>
          <w:rFonts w:hint="eastAsia" w:ascii="仿宋_GB2312" w:hAnsi="仿宋_GB2312" w:eastAsia="仿宋_GB2312"/>
          <w:sz w:val="28"/>
        </w:rPr>
        <w:t>要求。</w:t>
      </w:r>
    </w:p>
    <w:p>
      <w:pPr>
        <w:ind w:left="477" w:leftChars="227"/>
        <w:outlineLvl w:val="1"/>
        <w:rPr>
          <w:rFonts w:ascii="仿宋_GB2312" w:hAnsi="仿宋_GB2312" w:eastAsia="仿宋_GB2312"/>
          <w:sz w:val="28"/>
        </w:rPr>
      </w:pPr>
      <w:bookmarkStart w:id="7" w:name="_Toc373500453"/>
      <w:bookmarkStart w:id="8" w:name="_Toc373486300"/>
      <w:bookmarkStart w:id="9" w:name="_Toc373485987"/>
      <w:r>
        <w:rPr>
          <w:rFonts w:hint="eastAsia" w:ascii="仿宋_GB2312" w:hAnsi="仿宋_GB2312" w:eastAsia="仿宋_GB2312"/>
          <w:sz w:val="28"/>
        </w:rPr>
        <w:t>二、投标截止时间及方式</w:t>
      </w:r>
      <w:bookmarkEnd w:id="7"/>
      <w:bookmarkEnd w:id="8"/>
      <w:bookmarkEnd w:id="9"/>
      <w:r>
        <w:rPr>
          <w:rFonts w:hint="eastAsia" w:ascii="仿宋_GB2312" w:hAnsi="仿宋_GB2312" w:eastAsia="仿宋_GB2312"/>
          <w:sz w:val="28"/>
        </w:rPr>
        <w:t xml:space="preserve">  </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（一）截止时间：</w:t>
      </w:r>
      <w:r>
        <w:rPr>
          <w:rFonts w:hint="eastAsia" w:ascii="仿宋_GB2312" w:hAnsi="仿宋_GB2312" w:eastAsia="仿宋_GB2312"/>
          <w:b/>
          <w:bCs/>
          <w:sz w:val="28"/>
        </w:rPr>
        <w:t>2017年</w:t>
      </w:r>
      <w:r>
        <w:rPr>
          <w:rFonts w:hint="eastAsia" w:ascii="仿宋_GB2312" w:hAnsi="仿宋_GB2312" w:eastAsia="仿宋_GB2312"/>
          <w:b/>
          <w:bCs/>
          <w:sz w:val="28"/>
          <w:lang w:val="en-US" w:eastAsia="zh-CN"/>
        </w:rPr>
        <w:t>12</w:t>
      </w:r>
      <w:r>
        <w:rPr>
          <w:rFonts w:hint="eastAsia" w:ascii="仿宋_GB2312" w:hAnsi="仿宋_GB2312" w:eastAsia="仿宋_GB2312"/>
          <w:b/>
          <w:bCs/>
          <w:sz w:val="28"/>
        </w:rPr>
        <w:t>月</w:t>
      </w:r>
      <w:r>
        <w:rPr>
          <w:rFonts w:hint="eastAsia" w:ascii="仿宋_GB2312" w:hAnsi="仿宋_GB2312" w:eastAsia="仿宋_GB2312"/>
          <w:b/>
          <w:bCs/>
          <w:sz w:val="28"/>
          <w:lang w:val="en-US" w:eastAsia="zh-CN"/>
        </w:rPr>
        <w:t>14</w:t>
      </w:r>
      <w:r>
        <w:rPr>
          <w:rFonts w:hint="eastAsia" w:ascii="仿宋_GB2312" w:hAnsi="仿宋_GB2312" w:eastAsia="仿宋_GB2312"/>
          <w:b/>
          <w:bCs/>
          <w:sz w:val="28"/>
        </w:rPr>
        <w:t>日1</w:t>
      </w:r>
      <w:r>
        <w:rPr>
          <w:rFonts w:ascii="仿宋_GB2312" w:hAnsi="仿宋_GB2312" w:eastAsia="仿宋_GB2312"/>
          <w:b/>
          <w:bCs/>
          <w:sz w:val="28"/>
        </w:rPr>
        <w:t>6</w:t>
      </w:r>
      <w:r>
        <w:rPr>
          <w:rFonts w:hint="eastAsia" w:ascii="仿宋_GB2312" w:hAnsi="仿宋_GB2312" w:eastAsia="仿宋_GB2312"/>
          <w:b/>
          <w:bCs/>
          <w:sz w:val="28"/>
        </w:rPr>
        <w:t>:00</w:t>
      </w:r>
      <w:r>
        <w:rPr>
          <w:rFonts w:hint="eastAsia" w:ascii="仿宋_GB2312" w:hAnsi="仿宋_GB2312" w:eastAsia="仿宋_GB2312"/>
          <w:sz w:val="28"/>
        </w:rPr>
        <w:t>时前递交投标文件。</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（二）投标方式：快递</w:t>
      </w:r>
      <w:r>
        <w:rPr>
          <w:rFonts w:ascii="仿宋_GB2312" w:hAnsi="仿宋_GB2312" w:eastAsia="仿宋_GB2312"/>
          <w:sz w:val="28"/>
        </w:rPr>
        <w:t>或</w:t>
      </w:r>
      <w:r>
        <w:rPr>
          <w:rFonts w:hint="eastAsia" w:ascii="仿宋_GB2312" w:hAnsi="仿宋_GB2312" w:eastAsia="仿宋_GB2312"/>
          <w:sz w:val="28"/>
        </w:rPr>
        <w:t>直接送达。</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（三）投标文件密封递交至</w:t>
      </w:r>
      <w:r>
        <w:rPr>
          <w:rFonts w:hint="eastAsia" w:ascii="仿宋_GB2312" w:hAnsi="仿宋_GB2312" w:eastAsia="仿宋_GB2312"/>
          <w:sz w:val="28"/>
          <w:u w:val="single"/>
        </w:rPr>
        <w:t>中山大学新华学院东莞校区行政楼A214</w:t>
      </w:r>
      <w:r>
        <w:rPr>
          <w:rFonts w:hint="eastAsia" w:ascii="仿宋" w:hAnsi="仿宋" w:eastAsia="仿宋" w:cs="仿宋"/>
          <w:sz w:val="28"/>
        </w:rPr>
        <w:t>。</w:t>
      </w:r>
    </w:p>
    <w:p>
      <w:pPr>
        <w:ind w:left="477" w:leftChars="227"/>
        <w:outlineLvl w:val="1"/>
        <w:rPr>
          <w:rFonts w:ascii="仿宋_GB2312" w:hAnsi="仿宋_GB2312" w:eastAsia="仿宋_GB2312"/>
          <w:sz w:val="28"/>
        </w:rPr>
      </w:pPr>
      <w:bookmarkStart w:id="10" w:name="_Toc373485988"/>
      <w:bookmarkStart w:id="11" w:name="_Toc373486301"/>
      <w:bookmarkStart w:id="12" w:name="_Toc373500454"/>
      <w:r>
        <w:rPr>
          <w:rFonts w:hint="eastAsia" w:ascii="仿宋_GB2312" w:hAnsi="仿宋_GB2312" w:eastAsia="仿宋_GB2312"/>
          <w:sz w:val="28"/>
        </w:rPr>
        <w:t>三、开标时间及地点</w:t>
      </w:r>
      <w:bookmarkEnd w:id="10"/>
      <w:bookmarkEnd w:id="11"/>
      <w:bookmarkEnd w:id="12"/>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（一）开标时间另行通知。</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（二）地点：中山大学新华学院东莞校区行政楼会议室。</w:t>
      </w:r>
    </w:p>
    <w:p>
      <w:pPr>
        <w:ind w:left="477" w:leftChars="227"/>
        <w:outlineLvl w:val="1"/>
        <w:rPr>
          <w:rFonts w:ascii="仿宋_GB2312" w:hAnsi="仿宋_GB2312" w:eastAsia="仿宋_GB2312"/>
          <w:sz w:val="28"/>
        </w:rPr>
      </w:pPr>
      <w:bookmarkStart w:id="13" w:name="_Toc373486302"/>
      <w:bookmarkStart w:id="14" w:name="_Toc373500455"/>
      <w:bookmarkStart w:id="15" w:name="_Toc373485989"/>
      <w:r>
        <w:rPr>
          <w:rFonts w:hint="eastAsia" w:ascii="仿宋_GB2312" w:hAnsi="仿宋_GB2312" w:eastAsia="仿宋_GB2312"/>
          <w:sz w:val="28"/>
        </w:rPr>
        <w:t>四、联系方式</w:t>
      </w:r>
      <w:bookmarkEnd w:id="13"/>
      <w:bookmarkEnd w:id="14"/>
      <w:bookmarkEnd w:id="15"/>
    </w:p>
    <w:p>
      <w:pPr>
        <w:ind w:left="479" w:leftChars="228" w:firstLine="555"/>
        <w:rPr>
          <w:rFonts w:ascii="仿宋_GB2312" w:hAnsi="仿宋_GB2312" w:eastAsia="仿宋_GB2312"/>
          <w:sz w:val="28"/>
        </w:rPr>
      </w:pPr>
      <w:r>
        <w:rPr>
          <w:rFonts w:hint="eastAsia" w:ascii="仿宋_GB2312" w:hAnsi="仿宋_GB2312" w:eastAsia="仿宋_GB2312"/>
          <w:sz w:val="28"/>
        </w:rPr>
        <w:t xml:space="preserve">联系人：王老师                   </w:t>
      </w:r>
      <w:r>
        <w:rPr>
          <w:rFonts w:ascii="仿宋_GB2312" w:hAnsi="仿宋_GB2312" w:eastAsia="仿宋_GB2312"/>
          <w:sz w:val="28"/>
        </w:rPr>
        <w:t xml:space="preserve">      </w:t>
      </w:r>
      <w:r>
        <w:rPr>
          <w:rFonts w:hint="eastAsia" w:ascii="仿宋_GB2312" w:hAnsi="仿宋_GB2312" w:eastAsia="仿宋_GB2312"/>
          <w:sz w:val="28"/>
        </w:rPr>
        <w:t>邮箱：1248100835@qq.com</w:t>
      </w:r>
    </w:p>
    <w:p>
      <w:pPr>
        <w:rPr>
          <w:rFonts w:ascii="仿宋_GB2312" w:hAnsi="仿宋_GB2312" w:eastAsia="仿宋_GB2312"/>
          <w:sz w:val="28"/>
        </w:rPr>
      </w:pPr>
      <w:r>
        <w:rPr>
          <w:rFonts w:hint="eastAsia" w:ascii="仿宋_GB2312" w:hAnsi="仿宋_GB2312" w:eastAsia="仿宋_GB2312"/>
          <w:sz w:val="28"/>
        </w:rPr>
        <w:t xml:space="preserve">       电  话：0769-82676032   18122888902</w:t>
      </w:r>
    </w:p>
    <w:p>
      <w:pPr>
        <w:rPr>
          <w:rFonts w:ascii="仿宋_GB2312" w:hAnsi="仿宋_GB2312" w:eastAsia="仿宋_GB2312"/>
          <w:sz w:val="28"/>
        </w:rPr>
      </w:pPr>
      <w:r>
        <w:rPr>
          <w:rFonts w:hint="eastAsia" w:ascii="仿宋_GB2312" w:hAnsi="仿宋_GB2312" w:eastAsia="仿宋_GB2312"/>
          <w:sz w:val="28"/>
        </w:rPr>
        <w:t xml:space="preserve">       地  址：东莞市麻涌镇沿江西一路7号(523133)</w:t>
      </w:r>
    </w:p>
    <w:p>
      <w:pPr>
        <w:rPr>
          <w:rFonts w:ascii="仿宋_GB2312" w:hAnsi="仿宋_GB2312" w:eastAsia="仿宋_GB2312"/>
          <w:sz w:val="28"/>
        </w:rPr>
      </w:pPr>
    </w:p>
    <w:p>
      <w:pPr>
        <w:spacing w:before="312" w:beforeLines="100" w:after="312" w:afterLines="100"/>
        <w:jc w:val="both"/>
        <w:outlineLvl w:val="0"/>
        <w:rPr>
          <w:rFonts w:ascii="黑体" w:hAnsi="黑体" w:eastAsia="黑体" w:cs="黑体"/>
          <w:sz w:val="44"/>
          <w:szCs w:val="44"/>
        </w:rPr>
      </w:pPr>
      <w:bookmarkStart w:id="16" w:name="_Toc373486303"/>
      <w:bookmarkStart w:id="17" w:name="_Toc373485990"/>
      <w:bookmarkStart w:id="18" w:name="_Toc373500456"/>
    </w:p>
    <w:p>
      <w:pPr>
        <w:spacing w:before="312" w:beforeLines="100" w:after="312" w:afterLines="100"/>
        <w:jc w:val="center"/>
        <w:outlineLvl w:val="0"/>
        <w:rPr>
          <w:sz w:val="28"/>
          <w:szCs w:val="28"/>
        </w:rPr>
      </w:pPr>
      <w:r>
        <w:rPr>
          <w:rFonts w:hint="eastAsia" w:ascii="黑体" w:hAnsi="黑体" w:eastAsia="黑体" w:cs="黑体"/>
          <w:sz w:val="44"/>
          <w:szCs w:val="44"/>
        </w:rPr>
        <w:t>第二部分 投标须知</w:t>
      </w:r>
      <w:bookmarkEnd w:id="16"/>
      <w:bookmarkEnd w:id="17"/>
      <w:bookmarkEnd w:id="18"/>
    </w:p>
    <w:p>
      <w:pPr>
        <w:jc w:val="center"/>
        <w:outlineLvl w:val="1"/>
        <w:rPr>
          <w:rFonts w:ascii="仿宋_GB2312" w:hAnsi="仿宋_GB2312" w:eastAsia="仿宋_GB2312"/>
          <w:sz w:val="28"/>
        </w:rPr>
      </w:pPr>
      <w:bookmarkStart w:id="19" w:name="_Toc373485991"/>
      <w:bookmarkStart w:id="20" w:name="_Toc373486304"/>
      <w:bookmarkStart w:id="21" w:name="_Toc373500457"/>
      <w:r>
        <w:rPr>
          <w:rFonts w:hint="eastAsia" w:ascii="仿宋_GB2312" w:hAnsi="仿宋_GB2312" w:eastAsia="仿宋_GB2312"/>
          <w:b/>
          <w:bCs/>
          <w:sz w:val="32"/>
          <w:szCs w:val="28"/>
        </w:rPr>
        <w:t>一、概述</w:t>
      </w:r>
      <w:bookmarkEnd w:id="19"/>
      <w:bookmarkEnd w:id="20"/>
      <w:bookmarkEnd w:id="21"/>
    </w:p>
    <w:p>
      <w:pPr>
        <w:ind w:firstLine="560" w:firstLineChars="200"/>
        <w:rPr>
          <w:rFonts w:ascii="仿宋" w:hAnsi="仿宋" w:eastAsia="仿宋" w:cs="仿宋"/>
          <w:sz w:val="28"/>
          <w:szCs w:val="28"/>
        </w:rPr>
      </w:pPr>
      <w:r>
        <w:rPr>
          <w:rFonts w:hint="eastAsia" w:ascii="仿宋" w:hAnsi="仿宋" w:eastAsia="仿宋" w:cs="仿宋"/>
          <w:sz w:val="28"/>
          <w:szCs w:val="28"/>
        </w:rPr>
        <w:t>（一）投标人资格</w:t>
      </w:r>
    </w:p>
    <w:p>
      <w:pPr>
        <w:tabs>
          <w:tab w:val="left" w:pos="435"/>
        </w:tabs>
        <w:rPr>
          <w:rFonts w:hint="eastAsia" w:ascii="仿宋" w:hAnsi="仿宋" w:eastAsia="仿宋" w:cs="仿宋"/>
          <w:color w:val="FF0000"/>
          <w:sz w:val="28"/>
          <w:szCs w:val="28"/>
        </w:rPr>
      </w:pPr>
      <w:r>
        <w:rPr>
          <w:rFonts w:hint="eastAsia" w:ascii="仿宋_GB2312" w:eastAsia="仿宋_GB2312"/>
          <w:sz w:val="32"/>
          <w:szCs w:val="32"/>
          <w:lang w:val="en-US" w:eastAsia="zh-CN"/>
        </w:rPr>
        <w:t xml:space="preserve">   </w:t>
      </w:r>
      <w:r>
        <w:rPr>
          <w:rFonts w:hint="eastAsia" w:ascii="仿宋" w:hAnsi="仿宋" w:eastAsia="仿宋" w:cs="仿宋"/>
          <w:sz w:val="28"/>
          <w:szCs w:val="28"/>
        </w:rPr>
        <w:t>1.投标人应具备独立法人资格，不接受联合体投标，且具备城市园林绿化叁级或以上资质。</w:t>
      </w:r>
      <w:r>
        <w:rPr>
          <w:rFonts w:hint="eastAsia" w:ascii="仿宋" w:hAnsi="仿宋" w:eastAsia="仿宋" w:cs="仿宋"/>
          <w:color w:val="FF0000"/>
          <w:sz w:val="28"/>
          <w:szCs w:val="28"/>
          <w:lang w:val="zh-CN"/>
        </w:rPr>
        <w:t>投标人经营范围必须包含园林绿化工程或服务</w:t>
      </w:r>
      <w:r>
        <w:rPr>
          <w:rFonts w:hint="eastAsia" w:ascii="仿宋" w:hAnsi="仿宋" w:eastAsia="仿宋" w:cs="仿宋"/>
          <w:sz w:val="28"/>
          <w:szCs w:val="28"/>
        </w:rPr>
        <w:t>。</w:t>
      </w:r>
    </w:p>
    <w:p>
      <w:pPr>
        <w:tabs>
          <w:tab w:val="left" w:pos="675"/>
        </w:tabs>
        <w:ind w:firstLine="560" w:firstLineChars="200"/>
        <w:rPr>
          <w:rFonts w:hint="eastAsia" w:ascii="仿宋" w:hAnsi="仿宋" w:eastAsia="仿宋" w:cs="仿宋"/>
          <w:sz w:val="28"/>
          <w:szCs w:val="28"/>
        </w:rPr>
      </w:pPr>
      <w:r>
        <w:rPr>
          <w:rFonts w:hint="eastAsia" w:ascii="仿宋" w:hAnsi="仿宋" w:eastAsia="仿宋" w:cs="仿宋"/>
          <w:sz w:val="28"/>
          <w:szCs w:val="28"/>
        </w:rPr>
        <w:t>2.投标人应具有有效的广州市登记备案证书（属广州市工商局之外核发营业执照的企业需提供此证书。</w:t>
      </w:r>
    </w:p>
    <w:p>
      <w:pPr>
        <w:tabs>
          <w:tab w:val="left" w:pos="675"/>
        </w:tabs>
        <w:ind w:firstLine="560" w:firstLineChars="200"/>
        <w:rPr>
          <w:rFonts w:hint="eastAsia" w:ascii="仿宋" w:hAnsi="仿宋" w:eastAsia="仿宋" w:cs="仿宋"/>
          <w:sz w:val="28"/>
          <w:szCs w:val="28"/>
        </w:rPr>
      </w:pPr>
      <w:r>
        <w:rPr>
          <w:rFonts w:hint="eastAsia" w:ascii="仿宋" w:hAnsi="仿宋" w:eastAsia="仿宋" w:cs="仿宋"/>
          <w:sz w:val="28"/>
          <w:szCs w:val="28"/>
        </w:rPr>
        <w:t>3.以委派项目负责人必须具备园林</w:t>
      </w:r>
      <w:r>
        <w:rPr>
          <w:rFonts w:hint="eastAsia" w:ascii="仿宋" w:hAnsi="仿宋" w:eastAsia="仿宋" w:cs="仿宋"/>
          <w:color w:val="FF0000"/>
          <w:sz w:val="28"/>
          <w:szCs w:val="28"/>
        </w:rPr>
        <w:t>中级</w:t>
      </w:r>
      <w:r>
        <w:rPr>
          <w:rFonts w:hint="eastAsia" w:ascii="仿宋" w:hAnsi="仿宋" w:eastAsia="仿宋" w:cs="仿宋"/>
          <w:sz w:val="28"/>
          <w:szCs w:val="28"/>
        </w:rPr>
        <w:t>工程师或以上的技术职务。在养护人员中必须具备绿化工、花卉工、中药材种植养护的技术工人（提供劳动部门颁发的相关证件），投标人</w:t>
      </w:r>
      <w:r>
        <w:rPr>
          <w:rFonts w:hint="eastAsia" w:ascii="仿宋" w:hAnsi="仿宋" w:eastAsia="仿宋" w:cs="仿宋"/>
          <w:color w:val="FF0000"/>
          <w:sz w:val="28"/>
          <w:szCs w:val="28"/>
        </w:rPr>
        <w:t>同时具备中级或以上风景园林景观设计师优先，</w:t>
      </w:r>
      <w:r>
        <w:rPr>
          <w:rFonts w:hint="eastAsia" w:ascii="仿宋" w:hAnsi="仿宋" w:eastAsia="仿宋" w:cs="仿宋"/>
          <w:sz w:val="28"/>
          <w:szCs w:val="28"/>
        </w:rPr>
        <w:t>人员配置横向对比较优者优先。</w:t>
      </w:r>
    </w:p>
    <w:p>
      <w:pPr>
        <w:tabs>
          <w:tab w:val="left" w:pos="675"/>
        </w:tabs>
        <w:ind w:firstLine="560" w:firstLineChars="200"/>
        <w:rPr>
          <w:rFonts w:hint="eastAsia" w:ascii="仿宋" w:hAnsi="仿宋" w:eastAsia="仿宋" w:cs="仿宋"/>
          <w:sz w:val="28"/>
          <w:szCs w:val="28"/>
        </w:rPr>
      </w:pPr>
      <w:r>
        <w:rPr>
          <w:rFonts w:hint="eastAsia" w:ascii="仿宋" w:hAnsi="仿宋" w:eastAsia="仿宋" w:cs="仿宋"/>
          <w:sz w:val="28"/>
          <w:szCs w:val="28"/>
        </w:rPr>
        <w:t>4.投标人自2013年至今至少完成过广东地区1.5万平方米以上的园林绿化养护项目2项，需同时提供</w:t>
      </w:r>
      <w:r>
        <w:rPr>
          <w:rFonts w:hint="eastAsia" w:ascii="仿宋" w:hAnsi="仿宋" w:eastAsia="仿宋" w:cs="仿宋"/>
          <w:color w:val="FF0000"/>
          <w:sz w:val="28"/>
          <w:szCs w:val="28"/>
        </w:rPr>
        <w:t>合同，提供合同关键页复印件；另有承接过广州地区相关学校景观提升改造的优先，需提供合同关键页复印件。</w:t>
      </w:r>
    </w:p>
    <w:p>
      <w:pPr>
        <w:tabs>
          <w:tab w:val="left" w:pos="675"/>
        </w:tabs>
        <w:ind w:firstLine="560" w:firstLineChars="200"/>
        <w:rPr>
          <w:rFonts w:hint="eastAsia" w:ascii="仿宋" w:hAnsi="仿宋" w:eastAsia="仿宋" w:cs="仿宋"/>
          <w:color w:val="FF0000"/>
          <w:sz w:val="28"/>
          <w:szCs w:val="28"/>
        </w:rPr>
      </w:pPr>
      <w:r>
        <w:rPr>
          <w:rFonts w:hint="eastAsia" w:ascii="仿宋" w:hAnsi="仿宋" w:eastAsia="仿宋" w:cs="仿宋"/>
          <w:color w:val="FF0000"/>
          <w:sz w:val="28"/>
          <w:szCs w:val="28"/>
        </w:rPr>
        <w:t>5、投标人应具备100亩及以上的苗木种植基地，需提供所有权证明或有效的租赁合同。</w:t>
      </w:r>
    </w:p>
    <w:p>
      <w:pPr>
        <w:tabs>
          <w:tab w:val="left" w:pos="675"/>
        </w:tabs>
        <w:ind w:firstLine="560" w:firstLineChars="200"/>
        <w:rPr>
          <w:rFonts w:hint="eastAsia" w:ascii="仿宋" w:hAnsi="仿宋" w:eastAsia="仿宋" w:cs="仿宋"/>
          <w:color w:val="FF0000"/>
          <w:sz w:val="28"/>
          <w:szCs w:val="28"/>
        </w:rPr>
      </w:pPr>
      <w:r>
        <w:rPr>
          <w:rFonts w:hint="eastAsia" w:ascii="仿宋" w:hAnsi="仿宋" w:eastAsia="仿宋" w:cs="仿宋"/>
          <w:color w:val="FF0000"/>
          <w:sz w:val="28"/>
          <w:szCs w:val="28"/>
        </w:rPr>
        <w:t>6、投标人应具备一台及以上洒水车，且需配一台运输车，需提供车辆权属证明复印件。</w:t>
      </w:r>
    </w:p>
    <w:p>
      <w:pPr>
        <w:tabs>
          <w:tab w:val="left" w:pos="675"/>
        </w:tabs>
        <w:ind w:firstLine="560" w:firstLineChars="200"/>
        <w:rPr>
          <w:rFonts w:hint="eastAsia" w:ascii="仿宋" w:hAnsi="仿宋" w:eastAsia="仿宋" w:cs="仿宋"/>
          <w:color w:val="FF0000"/>
          <w:sz w:val="28"/>
          <w:szCs w:val="28"/>
        </w:rPr>
      </w:pPr>
      <w:r>
        <w:rPr>
          <w:rFonts w:hint="eastAsia" w:ascii="仿宋" w:hAnsi="仿宋" w:eastAsia="仿宋" w:cs="仿宋"/>
          <w:sz w:val="28"/>
          <w:szCs w:val="28"/>
        </w:rPr>
        <w:t>7.投标人具有良好的银行资信和商业信誉，没有处于被责令停业，无法清偿到期债务或破产状态，且企业或企业资产未被重组接管和冻结。</w:t>
      </w:r>
      <w:r>
        <w:rPr>
          <w:rFonts w:hint="eastAsia" w:ascii="仿宋" w:hAnsi="仿宋" w:eastAsia="仿宋" w:cs="仿宋"/>
          <w:color w:val="FF0000"/>
          <w:sz w:val="28"/>
          <w:szCs w:val="28"/>
        </w:rPr>
        <w:t>（须提供书面声明）</w:t>
      </w:r>
    </w:p>
    <w:p>
      <w:pPr>
        <w:ind w:firstLine="560" w:firstLineChars="200"/>
        <w:rPr>
          <w:rFonts w:hint="eastAsia" w:ascii="仿宋" w:hAnsi="仿宋" w:eastAsia="仿宋" w:cs="仿宋"/>
          <w:sz w:val="28"/>
          <w:szCs w:val="28"/>
        </w:rPr>
      </w:pPr>
      <w:r>
        <w:rPr>
          <w:rFonts w:hint="eastAsia" w:ascii="仿宋" w:hAnsi="仿宋" w:eastAsia="仿宋" w:cs="仿宋"/>
          <w:color w:val="FF0000"/>
          <w:sz w:val="28"/>
          <w:szCs w:val="28"/>
        </w:rPr>
        <w:t>8、</w:t>
      </w:r>
      <w:r>
        <w:rPr>
          <w:rFonts w:hint="eastAsia" w:ascii="仿宋" w:hAnsi="仿宋" w:eastAsia="仿宋" w:cs="仿宋"/>
          <w:color w:val="FF0000"/>
          <w:sz w:val="28"/>
          <w:szCs w:val="28"/>
          <w:lang w:val="zh-CN"/>
        </w:rPr>
        <w:t>在</w:t>
      </w:r>
      <w:r>
        <w:rPr>
          <w:rFonts w:hint="eastAsia" w:ascii="仿宋" w:hAnsi="仿宋" w:eastAsia="仿宋" w:cs="仿宋"/>
          <w:color w:val="FF0000"/>
          <w:sz w:val="28"/>
          <w:szCs w:val="28"/>
        </w:rPr>
        <w:t>“</w:t>
      </w:r>
      <w:r>
        <w:rPr>
          <w:rFonts w:hint="eastAsia" w:ascii="仿宋" w:hAnsi="仿宋" w:eastAsia="仿宋" w:cs="仿宋"/>
          <w:color w:val="FF0000"/>
          <w:sz w:val="28"/>
          <w:szCs w:val="28"/>
          <w:lang w:val="zh-CN"/>
        </w:rPr>
        <w:t>信用中国</w:t>
      </w:r>
      <w:r>
        <w:rPr>
          <w:rFonts w:hint="eastAsia" w:ascii="仿宋" w:hAnsi="仿宋" w:eastAsia="仿宋" w:cs="仿宋"/>
          <w:color w:val="FF0000"/>
          <w:sz w:val="28"/>
          <w:szCs w:val="28"/>
        </w:rPr>
        <w:t>”</w:t>
      </w:r>
      <w:r>
        <w:rPr>
          <w:rFonts w:hint="eastAsia" w:ascii="仿宋" w:hAnsi="仿宋" w:eastAsia="仿宋" w:cs="仿宋"/>
          <w:color w:val="FF0000"/>
          <w:sz w:val="28"/>
          <w:szCs w:val="28"/>
          <w:lang w:val="zh-CN"/>
        </w:rPr>
        <w:t>网站</w:t>
      </w:r>
      <w:r>
        <w:rPr>
          <w:rFonts w:hint="eastAsia" w:ascii="仿宋" w:hAnsi="仿宋" w:eastAsia="仿宋" w:cs="仿宋"/>
          <w:color w:val="FF0000"/>
          <w:sz w:val="28"/>
          <w:szCs w:val="28"/>
        </w:rPr>
        <w:t>（www.creditchina.gov.cn）</w:t>
      </w:r>
      <w:r>
        <w:rPr>
          <w:rFonts w:hint="eastAsia" w:ascii="仿宋" w:hAnsi="仿宋" w:eastAsia="仿宋" w:cs="仿宋"/>
          <w:color w:val="FF0000"/>
          <w:sz w:val="28"/>
          <w:szCs w:val="28"/>
          <w:lang w:val="zh-CN"/>
        </w:rPr>
        <w:t>、中国政府采购网</w:t>
      </w:r>
      <w:r>
        <w:rPr>
          <w:rFonts w:hint="eastAsia" w:ascii="仿宋" w:hAnsi="仿宋" w:eastAsia="仿宋" w:cs="仿宋"/>
          <w:color w:val="FF0000"/>
          <w:sz w:val="28"/>
          <w:szCs w:val="28"/>
        </w:rPr>
        <w:t>（www.ccgp.gov.cn）</w:t>
      </w:r>
      <w:r>
        <w:rPr>
          <w:rFonts w:hint="eastAsia" w:ascii="仿宋" w:hAnsi="仿宋" w:eastAsia="仿宋" w:cs="仿宋"/>
          <w:color w:val="FF0000"/>
          <w:sz w:val="28"/>
          <w:szCs w:val="28"/>
          <w:lang w:val="zh-CN"/>
        </w:rPr>
        <w:t>没有被列入失信被执行人、重大税收违法案件当事人名单、政府采购严重违法失信行为记录名单及其他不符合规定条件的供应商。</w:t>
      </w:r>
    </w:p>
    <w:p>
      <w:pPr>
        <w:tabs>
          <w:tab w:val="left" w:pos="675"/>
        </w:tabs>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9.投标人以往参与的招投标项目中和本次招投标项目中未涉及任何中国法律、法规和中国政府政策规定所禁止的腐败、欺诈行为的投标人。</w:t>
      </w:r>
      <w:r>
        <w:rPr>
          <w:rFonts w:hint="eastAsia" w:ascii="仿宋" w:hAnsi="仿宋" w:eastAsia="仿宋" w:cs="仿宋"/>
          <w:color w:val="FF0000"/>
          <w:sz w:val="28"/>
          <w:szCs w:val="28"/>
        </w:rPr>
        <w:t>（须提供书面声明）</w:t>
      </w:r>
    </w:p>
    <w:p>
      <w:pPr>
        <w:ind w:left="315" w:leftChars="150"/>
        <w:rPr>
          <w:rFonts w:ascii="仿宋" w:hAnsi="仿宋" w:eastAsia="仿宋" w:cs="仿宋"/>
          <w:sz w:val="28"/>
          <w:szCs w:val="28"/>
        </w:rPr>
      </w:pPr>
      <w:r>
        <w:rPr>
          <w:rFonts w:hint="eastAsia" w:ascii="仿宋" w:hAnsi="仿宋" w:eastAsia="仿宋" w:cs="仿宋"/>
          <w:sz w:val="28"/>
          <w:szCs w:val="28"/>
        </w:rPr>
        <w:t>（二）投标费用</w:t>
      </w:r>
    </w:p>
    <w:p>
      <w:pPr>
        <w:ind w:firstLine="560"/>
        <w:rPr>
          <w:rFonts w:ascii="仿宋" w:hAnsi="仿宋" w:eastAsia="仿宋" w:cs="仿宋"/>
          <w:sz w:val="28"/>
          <w:szCs w:val="28"/>
          <w:lang w:val="en-US"/>
        </w:rPr>
      </w:pPr>
      <w:r>
        <w:rPr>
          <w:rFonts w:hint="eastAsia" w:ascii="仿宋" w:hAnsi="仿宋" w:eastAsia="仿宋" w:cs="仿宋"/>
          <w:sz w:val="28"/>
          <w:szCs w:val="28"/>
        </w:rPr>
        <w:t>投标人无论中标与否，应自行承担参加本招标活动所发生的所有费用。</w:t>
      </w:r>
    </w:p>
    <w:p>
      <w:pPr>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eastAsia="zh-CN"/>
        </w:rPr>
        <w:t>三</w:t>
      </w:r>
      <w:r>
        <w:rPr>
          <w:rFonts w:hint="eastAsia" w:ascii="仿宋" w:hAnsi="仿宋" w:eastAsia="仿宋" w:cs="仿宋"/>
          <w:sz w:val="28"/>
          <w:szCs w:val="28"/>
        </w:rPr>
        <w:t>）禁止事项</w:t>
      </w:r>
    </w:p>
    <w:p>
      <w:pPr>
        <w:ind w:firstLine="560" w:firstLineChars="200"/>
        <w:rPr>
          <w:rFonts w:ascii="仿宋" w:hAnsi="仿宋" w:eastAsia="仿宋" w:cs="仿宋"/>
          <w:sz w:val="28"/>
          <w:szCs w:val="28"/>
        </w:rPr>
      </w:pPr>
      <w:r>
        <w:rPr>
          <w:rFonts w:hint="eastAsia" w:ascii="仿宋" w:hAnsi="仿宋" w:eastAsia="仿宋" w:cs="仿宋"/>
          <w:sz w:val="28"/>
          <w:szCs w:val="28"/>
        </w:rPr>
        <w:t>1. 投标人不得相互串通投标损害国家利益，社会公共利益和其他当事人的合法权益，不得以任何手段排斥其他投标人参与竞争；</w:t>
      </w:r>
    </w:p>
    <w:p>
      <w:pPr>
        <w:ind w:firstLine="560" w:firstLineChars="200"/>
        <w:rPr>
          <w:rFonts w:ascii="仿宋" w:hAnsi="仿宋" w:eastAsia="仿宋" w:cs="仿宋"/>
          <w:sz w:val="28"/>
          <w:szCs w:val="28"/>
        </w:rPr>
      </w:pPr>
      <w:r>
        <w:rPr>
          <w:rFonts w:hint="eastAsia" w:ascii="仿宋" w:hAnsi="仿宋" w:eastAsia="仿宋" w:cs="仿宋"/>
          <w:sz w:val="28"/>
          <w:szCs w:val="28"/>
        </w:rPr>
        <w:t>2. 投标人不得向采购人、招标小组成员行贿或者采取其他不正当手段谋取中标；</w:t>
      </w:r>
    </w:p>
    <w:p>
      <w:pPr>
        <w:ind w:firstLine="560" w:firstLineChars="200"/>
        <w:rPr>
          <w:rFonts w:ascii="仿宋" w:hAnsi="仿宋" w:eastAsia="仿宋" w:cs="仿宋"/>
          <w:sz w:val="28"/>
          <w:szCs w:val="28"/>
        </w:rPr>
      </w:pPr>
      <w:r>
        <w:rPr>
          <w:rFonts w:hint="eastAsia" w:ascii="仿宋" w:hAnsi="仿宋" w:eastAsia="仿宋" w:cs="仿宋"/>
          <w:sz w:val="28"/>
          <w:szCs w:val="28"/>
        </w:rPr>
        <w:t>3. 《中华人民共和国政府采购法》及相关法律法规规定的其它禁止事项。</w:t>
      </w:r>
    </w:p>
    <w:p>
      <w:pPr>
        <w:rPr>
          <w:rFonts w:ascii="仿宋" w:hAnsi="仿宋" w:eastAsia="仿宋" w:cs="仿宋"/>
          <w:sz w:val="28"/>
          <w:szCs w:val="28"/>
        </w:rPr>
      </w:pPr>
    </w:p>
    <w:p>
      <w:pPr>
        <w:jc w:val="center"/>
        <w:outlineLvl w:val="1"/>
        <w:rPr>
          <w:rFonts w:ascii="仿宋_GB2312" w:hAnsi="仿宋_GB2312" w:eastAsia="仿宋_GB2312"/>
          <w:sz w:val="28"/>
        </w:rPr>
      </w:pPr>
      <w:bookmarkStart w:id="22" w:name="_Toc373500458"/>
      <w:bookmarkStart w:id="23" w:name="_Toc373485992"/>
      <w:bookmarkStart w:id="24" w:name="_Toc373486305"/>
      <w:r>
        <w:rPr>
          <w:rFonts w:hint="eastAsia" w:ascii="仿宋_GB2312" w:hAnsi="仿宋_GB2312" w:eastAsia="仿宋_GB2312"/>
          <w:b/>
          <w:bCs/>
          <w:sz w:val="32"/>
          <w:szCs w:val="28"/>
        </w:rPr>
        <w:t>二、招标文件</w:t>
      </w:r>
      <w:bookmarkEnd w:id="22"/>
      <w:bookmarkEnd w:id="23"/>
      <w:bookmarkEnd w:id="24"/>
    </w:p>
    <w:p>
      <w:pPr>
        <w:ind w:firstLine="560" w:firstLineChars="200"/>
        <w:rPr>
          <w:rFonts w:ascii="仿宋" w:hAnsi="仿宋" w:eastAsia="仿宋" w:cs="仿宋"/>
          <w:sz w:val="28"/>
          <w:szCs w:val="28"/>
        </w:rPr>
      </w:pPr>
      <w:r>
        <w:rPr>
          <w:rFonts w:hint="eastAsia" w:ascii="仿宋" w:hAnsi="仿宋" w:eastAsia="仿宋" w:cs="仿宋"/>
          <w:sz w:val="28"/>
          <w:szCs w:val="28"/>
        </w:rPr>
        <w:t>（一）招标文件的组成</w:t>
      </w:r>
    </w:p>
    <w:p>
      <w:pPr>
        <w:ind w:firstLine="560" w:firstLineChars="200"/>
        <w:rPr>
          <w:rFonts w:ascii="仿宋" w:hAnsi="仿宋" w:eastAsia="仿宋" w:cs="仿宋"/>
          <w:sz w:val="28"/>
          <w:szCs w:val="28"/>
        </w:rPr>
      </w:pPr>
      <w:r>
        <w:rPr>
          <w:rFonts w:hint="eastAsia" w:ascii="仿宋" w:hAnsi="仿宋" w:eastAsia="仿宋" w:cs="仿宋"/>
          <w:sz w:val="28"/>
          <w:szCs w:val="28"/>
        </w:rPr>
        <w:t>1. 招标文件用以阐明所需货物及服务、招标投标程序和要求等，招标文件的组成如下：</w:t>
      </w:r>
    </w:p>
    <w:p>
      <w:pPr>
        <w:ind w:firstLine="560" w:firstLineChars="200"/>
        <w:rPr>
          <w:rFonts w:ascii="仿宋" w:hAnsi="仿宋" w:eastAsia="仿宋" w:cs="仿宋"/>
          <w:sz w:val="28"/>
          <w:szCs w:val="28"/>
        </w:rPr>
      </w:pPr>
      <w:r>
        <w:rPr>
          <w:rFonts w:hint="eastAsia" w:ascii="仿宋" w:hAnsi="仿宋" w:eastAsia="仿宋" w:cs="仿宋"/>
          <w:sz w:val="28"/>
          <w:szCs w:val="28"/>
        </w:rPr>
        <w:t>第一部分 投标邀请书</w:t>
      </w:r>
    </w:p>
    <w:p>
      <w:pPr>
        <w:ind w:firstLine="560" w:firstLineChars="200"/>
        <w:rPr>
          <w:rFonts w:ascii="仿宋" w:hAnsi="仿宋" w:eastAsia="仿宋" w:cs="仿宋"/>
          <w:sz w:val="28"/>
          <w:szCs w:val="28"/>
        </w:rPr>
      </w:pPr>
      <w:r>
        <w:rPr>
          <w:rFonts w:hint="eastAsia" w:ascii="仿宋" w:hAnsi="仿宋" w:eastAsia="仿宋" w:cs="仿宋"/>
          <w:sz w:val="28"/>
          <w:szCs w:val="28"/>
        </w:rPr>
        <w:t xml:space="preserve">第二部分 投标须知   </w:t>
      </w:r>
    </w:p>
    <w:p>
      <w:pPr>
        <w:ind w:firstLine="560" w:firstLineChars="200"/>
        <w:rPr>
          <w:rFonts w:ascii="仿宋" w:hAnsi="仿宋" w:eastAsia="仿宋" w:cs="仿宋"/>
          <w:sz w:val="28"/>
          <w:szCs w:val="28"/>
        </w:rPr>
      </w:pPr>
      <w:r>
        <w:rPr>
          <w:rFonts w:hint="eastAsia" w:ascii="仿宋" w:hAnsi="仿宋" w:eastAsia="仿宋" w:cs="仿宋"/>
          <w:sz w:val="28"/>
          <w:szCs w:val="28"/>
        </w:rPr>
        <w:t>第三部分 招标项目清单及</w:t>
      </w:r>
      <w:r>
        <w:rPr>
          <w:rFonts w:hint="eastAsia" w:ascii="仿宋" w:hAnsi="仿宋" w:eastAsia="仿宋" w:cs="仿宋"/>
          <w:sz w:val="28"/>
          <w:szCs w:val="28"/>
          <w:lang w:eastAsia="zh-CN"/>
        </w:rPr>
        <w:t>服务</w:t>
      </w:r>
      <w:r>
        <w:rPr>
          <w:rFonts w:hint="eastAsia" w:ascii="仿宋" w:hAnsi="仿宋" w:eastAsia="仿宋" w:cs="仿宋"/>
          <w:sz w:val="28"/>
          <w:szCs w:val="28"/>
        </w:rPr>
        <w:t>要求</w:t>
      </w:r>
    </w:p>
    <w:p>
      <w:pPr>
        <w:ind w:firstLine="560" w:firstLineChars="200"/>
        <w:rPr>
          <w:rFonts w:ascii="仿宋" w:hAnsi="仿宋" w:eastAsia="仿宋" w:cs="仿宋"/>
          <w:sz w:val="28"/>
          <w:szCs w:val="28"/>
        </w:rPr>
      </w:pPr>
      <w:r>
        <w:rPr>
          <w:rFonts w:hint="eastAsia" w:ascii="仿宋" w:hAnsi="仿宋" w:eastAsia="仿宋" w:cs="仿宋"/>
          <w:sz w:val="28"/>
          <w:szCs w:val="28"/>
        </w:rPr>
        <w:t>第四部分 合同主要条款</w:t>
      </w:r>
    </w:p>
    <w:p>
      <w:pPr>
        <w:ind w:firstLine="560" w:firstLineChars="200"/>
        <w:rPr>
          <w:rFonts w:ascii="仿宋" w:hAnsi="仿宋" w:eastAsia="仿宋" w:cs="仿宋"/>
          <w:sz w:val="28"/>
          <w:szCs w:val="28"/>
        </w:rPr>
      </w:pPr>
      <w:r>
        <w:rPr>
          <w:rFonts w:hint="eastAsia" w:ascii="仿宋" w:hAnsi="仿宋" w:eastAsia="仿宋" w:cs="仿宋"/>
          <w:sz w:val="28"/>
          <w:szCs w:val="28"/>
        </w:rPr>
        <w:t>第五部分 附件</w:t>
      </w:r>
    </w:p>
    <w:p>
      <w:pPr>
        <w:numPr>
          <w:ilvl w:val="0"/>
          <w:numId w:val="1"/>
        </w:numPr>
        <w:ind w:firstLine="560" w:firstLineChars="200"/>
        <w:rPr>
          <w:rFonts w:ascii="仿宋" w:hAnsi="仿宋" w:eastAsia="仿宋" w:cs="仿宋"/>
          <w:sz w:val="28"/>
          <w:szCs w:val="28"/>
        </w:rPr>
      </w:pPr>
      <w:r>
        <w:rPr>
          <w:rFonts w:hint="eastAsia" w:ascii="仿宋" w:hAnsi="仿宋" w:eastAsia="仿宋" w:cs="仿宋"/>
          <w:sz w:val="28"/>
          <w:szCs w:val="28"/>
        </w:rPr>
        <w:t>除上述文件外，还包括发出的书面澄清、修改和补充资料，作为招标文件的组成部分，具有同等法律效力。</w:t>
      </w:r>
    </w:p>
    <w:p>
      <w:pPr>
        <w:ind w:firstLine="560" w:firstLineChars="200"/>
        <w:rPr>
          <w:rFonts w:ascii="仿宋" w:hAnsi="仿宋" w:eastAsia="仿宋" w:cs="仿宋"/>
          <w:sz w:val="28"/>
          <w:szCs w:val="28"/>
        </w:rPr>
      </w:pPr>
      <w:r>
        <w:rPr>
          <w:rFonts w:hint="eastAsia" w:ascii="仿宋" w:hAnsi="仿宋" w:eastAsia="仿宋" w:cs="仿宋"/>
          <w:sz w:val="28"/>
          <w:szCs w:val="28"/>
        </w:rPr>
        <w:t>（二）招标文件的澄清</w:t>
      </w:r>
    </w:p>
    <w:p>
      <w:pPr>
        <w:ind w:firstLine="560" w:firstLineChars="200"/>
        <w:rPr>
          <w:rFonts w:ascii="仿宋" w:hAnsi="仿宋" w:eastAsia="仿宋" w:cs="仿宋"/>
          <w:sz w:val="28"/>
          <w:szCs w:val="28"/>
        </w:rPr>
      </w:pPr>
      <w:r>
        <w:rPr>
          <w:rFonts w:hint="eastAsia" w:ascii="仿宋" w:hAnsi="仿宋" w:eastAsia="仿宋" w:cs="仿宋"/>
          <w:sz w:val="28"/>
          <w:szCs w:val="28"/>
        </w:rPr>
        <w:t>1. 招标文件的各项组成文件应被认为是相互说明的，如出现矛盾或歧义，招标人有权发出其认为必要的指示、澄清来解决此矛盾或歧义。对于该指示或澄清，投标人均不得表示异议。</w:t>
      </w:r>
    </w:p>
    <w:p>
      <w:pPr>
        <w:ind w:firstLine="560" w:firstLineChars="200"/>
        <w:rPr>
          <w:rFonts w:ascii="仿宋" w:hAnsi="仿宋" w:eastAsia="仿宋" w:cs="仿宋"/>
          <w:sz w:val="28"/>
          <w:szCs w:val="28"/>
        </w:rPr>
      </w:pPr>
      <w:r>
        <w:rPr>
          <w:rFonts w:hint="eastAsia" w:ascii="仿宋" w:hAnsi="仿宋" w:eastAsia="仿宋" w:cs="仿宋"/>
          <w:sz w:val="28"/>
          <w:szCs w:val="28"/>
        </w:rPr>
        <w:t>2.各投标人对招标文件如有疑点要求澄清，或认为有必要进行技术交流的，应以书面形式传真或发电子邮件给招标人。</w:t>
      </w:r>
    </w:p>
    <w:p>
      <w:pPr>
        <w:ind w:left="315" w:leftChars="150"/>
        <w:rPr>
          <w:rFonts w:ascii="仿宋" w:hAnsi="仿宋" w:eastAsia="仿宋" w:cs="仿宋"/>
          <w:sz w:val="28"/>
          <w:szCs w:val="28"/>
        </w:rPr>
      </w:pPr>
      <w:r>
        <w:rPr>
          <w:rFonts w:hint="eastAsia" w:ascii="仿宋" w:hAnsi="仿宋" w:eastAsia="仿宋" w:cs="仿宋"/>
          <w:sz w:val="28"/>
          <w:szCs w:val="28"/>
        </w:rPr>
        <w:t>（三）招标文件的修改</w:t>
      </w:r>
    </w:p>
    <w:p>
      <w:pPr>
        <w:ind w:firstLine="560" w:firstLineChars="200"/>
        <w:rPr>
          <w:rFonts w:ascii="仿宋" w:hAnsi="仿宋" w:eastAsia="仿宋" w:cs="仿宋"/>
          <w:sz w:val="28"/>
          <w:szCs w:val="28"/>
        </w:rPr>
      </w:pPr>
      <w:r>
        <w:rPr>
          <w:rFonts w:hint="eastAsia" w:ascii="仿宋" w:hAnsi="仿宋" w:eastAsia="仿宋" w:cs="仿宋"/>
          <w:sz w:val="28"/>
          <w:szCs w:val="28"/>
        </w:rPr>
        <w:t>1. 在投标截止日期前，招标人可对招标文件以补充文件的方式进行修改，招标文件的修改将以书面形式通知所有投标人。</w:t>
      </w:r>
    </w:p>
    <w:p>
      <w:pPr>
        <w:ind w:firstLine="560" w:firstLineChars="200"/>
        <w:rPr>
          <w:rFonts w:ascii="仿宋" w:hAnsi="仿宋" w:eastAsia="仿宋" w:cs="仿宋"/>
          <w:sz w:val="28"/>
          <w:szCs w:val="28"/>
        </w:rPr>
      </w:pPr>
      <w:r>
        <w:rPr>
          <w:rFonts w:hint="eastAsia" w:ascii="仿宋" w:hAnsi="仿宋" w:eastAsia="仿宋" w:cs="仿宋"/>
          <w:sz w:val="28"/>
          <w:szCs w:val="28"/>
        </w:rPr>
        <w:t>2. 补充文件为招标文件的补充，与其具有同等法律效力，若招标文件和补充文件冲突的，以补充文件为准。</w:t>
      </w:r>
    </w:p>
    <w:p>
      <w:pPr>
        <w:ind w:firstLine="560" w:firstLineChars="200"/>
        <w:rPr>
          <w:rFonts w:ascii="仿宋" w:hAnsi="仿宋" w:eastAsia="仿宋" w:cs="仿宋"/>
          <w:sz w:val="28"/>
          <w:szCs w:val="28"/>
        </w:rPr>
      </w:pPr>
      <w:r>
        <w:rPr>
          <w:rFonts w:hint="eastAsia" w:ascii="仿宋" w:hAnsi="仿宋" w:eastAsia="仿宋" w:cs="仿宋"/>
          <w:sz w:val="28"/>
          <w:szCs w:val="28"/>
        </w:rPr>
        <w:t>3. 投标人需按照招标文件修改文件的要求参与投标，投标人没有作出实质性响应可能导致其投标被拒绝。</w:t>
      </w:r>
    </w:p>
    <w:p>
      <w:pPr>
        <w:tabs>
          <w:tab w:val="left" w:pos="640"/>
        </w:tabs>
        <w:ind w:firstLine="560" w:firstLineChars="200"/>
        <w:rPr>
          <w:rFonts w:ascii="仿宋" w:hAnsi="仿宋" w:eastAsia="仿宋" w:cs="仿宋"/>
          <w:sz w:val="28"/>
          <w:szCs w:val="28"/>
        </w:rPr>
      </w:pPr>
      <w:r>
        <w:rPr>
          <w:rFonts w:hint="eastAsia" w:ascii="仿宋" w:hAnsi="仿宋" w:eastAsia="仿宋" w:cs="仿宋"/>
          <w:sz w:val="28"/>
          <w:szCs w:val="28"/>
        </w:rPr>
        <w:t>（四）招标文件的澄清、修改、补充等内容均以书面形式明确的内容为准，当招标文件、招标文件的澄清、修改、补充等在同一内容的表述上不一致时，以最后发出的书面文件为准。</w:t>
      </w:r>
    </w:p>
    <w:p>
      <w:pPr>
        <w:jc w:val="center"/>
        <w:outlineLvl w:val="1"/>
        <w:rPr>
          <w:rFonts w:ascii="仿宋_GB2312" w:hAnsi="仿宋_GB2312" w:eastAsia="仿宋_GB2312"/>
          <w:b/>
          <w:bCs/>
          <w:sz w:val="28"/>
        </w:rPr>
      </w:pPr>
      <w:bookmarkStart w:id="25" w:name="_Toc373500459"/>
      <w:bookmarkStart w:id="26" w:name="_Toc373485993"/>
      <w:bookmarkStart w:id="27" w:name="_Toc373486306"/>
      <w:r>
        <w:rPr>
          <w:rFonts w:hint="eastAsia" w:ascii="仿宋_GB2312" w:hAnsi="仿宋_GB2312" w:eastAsia="仿宋_GB2312"/>
          <w:b/>
          <w:bCs/>
          <w:sz w:val="32"/>
          <w:szCs w:val="28"/>
        </w:rPr>
        <w:t>三、投标文件</w:t>
      </w:r>
      <w:bookmarkEnd w:id="25"/>
      <w:bookmarkEnd w:id="26"/>
      <w:bookmarkEnd w:id="27"/>
    </w:p>
    <w:p>
      <w:pPr>
        <w:ind w:firstLine="560" w:firstLineChars="200"/>
        <w:rPr>
          <w:rFonts w:ascii="仿宋" w:hAnsi="仿宋" w:eastAsia="仿宋" w:cs="仿宋"/>
          <w:sz w:val="28"/>
          <w:szCs w:val="28"/>
        </w:rPr>
      </w:pPr>
      <w:r>
        <w:rPr>
          <w:rFonts w:hint="eastAsia" w:ascii="仿宋" w:hAnsi="仿宋" w:eastAsia="仿宋" w:cs="仿宋"/>
          <w:sz w:val="28"/>
          <w:szCs w:val="28"/>
        </w:rPr>
        <w:t>（一）投标文件的编制</w:t>
      </w:r>
    </w:p>
    <w:p>
      <w:pPr>
        <w:ind w:firstLine="560" w:firstLineChars="200"/>
        <w:rPr>
          <w:rFonts w:ascii="仿宋" w:hAnsi="仿宋" w:eastAsia="仿宋" w:cs="仿宋"/>
          <w:sz w:val="28"/>
          <w:szCs w:val="28"/>
        </w:rPr>
      </w:pPr>
      <w:r>
        <w:rPr>
          <w:rFonts w:hint="eastAsia" w:ascii="仿宋" w:hAnsi="仿宋" w:eastAsia="仿宋" w:cs="仿宋"/>
          <w:sz w:val="28"/>
          <w:szCs w:val="28"/>
        </w:rPr>
        <w:t>1. 投标人应认真阅读招标文件中的所有事项包括投标文件的组成、格式、商务条款和技术要求等，在完全理解招标文件的前提下编制投标文件。</w:t>
      </w:r>
    </w:p>
    <w:p>
      <w:pPr>
        <w:ind w:firstLine="560" w:firstLineChars="200"/>
        <w:rPr>
          <w:rFonts w:ascii="仿宋" w:hAnsi="仿宋" w:eastAsia="仿宋" w:cs="仿宋"/>
          <w:sz w:val="28"/>
          <w:szCs w:val="28"/>
        </w:rPr>
      </w:pPr>
      <w:r>
        <w:rPr>
          <w:rFonts w:hint="eastAsia" w:ascii="仿宋" w:hAnsi="仿宋" w:eastAsia="仿宋" w:cs="仿宋"/>
          <w:sz w:val="28"/>
          <w:szCs w:val="28"/>
        </w:rPr>
        <w:t>2. 投标人必须如实反映情况，对投标文件的真实性、准确性负责，投标人在投标中提供不真实的材料，无论其材料是否重要，都将直接导致投标文件无效，并承担由此产生的法律责任。</w:t>
      </w:r>
    </w:p>
    <w:p>
      <w:pPr>
        <w:ind w:firstLine="560" w:firstLineChars="200"/>
        <w:rPr>
          <w:rFonts w:ascii="仿宋" w:hAnsi="仿宋" w:eastAsia="仿宋" w:cs="仿宋"/>
          <w:sz w:val="28"/>
          <w:szCs w:val="28"/>
        </w:rPr>
      </w:pPr>
      <w:r>
        <w:rPr>
          <w:rFonts w:hint="eastAsia" w:ascii="仿宋" w:hAnsi="仿宋" w:eastAsia="仿宋" w:cs="仿宋"/>
          <w:sz w:val="28"/>
          <w:szCs w:val="28"/>
        </w:rPr>
        <w:t>3. 如果投标人没有按照招标文件要求提交全部资料或者投标文件没有对招标文件在各方面都作出实质性响应，可能导致其投标被拒绝。</w:t>
      </w:r>
    </w:p>
    <w:p>
      <w:pPr>
        <w:ind w:firstLine="560" w:firstLineChars="200"/>
        <w:rPr>
          <w:rFonts w:ascii="仿宋" w:hAnsi="仿宋" w:eastAsia="仿宋" w:cs="仿宋"/>
          <w:sz w:val="28"/>
          <w:szCs w:val="28"/>
        </w:rPr>
      </w:pPr>
      <w:r>
        <w:rPr>
          <w:rFonts w:hint="eastAsia" w:ascii="仿宋" w:hAnsi="仿宋" w:eastAsia="仿宋" w:cs="仿宋"/>
          <w:sz w:val="28"/>
          <w:szCs w:val="28"/>
        </w:rPr>
        <w:t>4. 投标文件为一式五份，正本一份，副本四份，标明“正本”和“副本”，封面及内容均需加盖公章。若正副本内容不一致，以正本为准。</w:t>
      </w:r>
    </w:p>
    <w:p>
      <w:pPr>
        <w:ind w:firstLine="560" w:firstLineChars="200"/>
        <w:rPr>
          <w:rFonts w:ascii="仿宋" w:hAnsi="仿宋" w:eastAsia="仿宋" w:cs="仿宋"/>
          <w:sz w:val="28"/>
          <w:szCs w:val="28"/>
        </w:rPr>
      </w:pPr>
      <w:r>
        <w:rPr>
          <w:rFonts w:hint="eastAsia" w:ascii="仿宋" w:hAnsi="仿宋" w:eastAsia="仿宋" w:cs="仿宋"/>
          <w:sz w:val="28"/>
          <w:szCs w:val="28"/>
        </w:rPr>
        <w:t>5. 投标文件内容应无涂改和行间插字，如因招标人修改招标文件造成的投标文件涂（删）改，应在涂（删）改处加盖公章，投标代理人签名。</w:t>
      </w:r>
    </w:p>
    <w:p>
      <w:pPr>
        <w:tabs>
          <w:tab w:val="left" w:pos="640"/>
        </w:tabs>
        <w:ind w:left="244" w:leftChars="116"/>
        <w:rPr>
          <w:rFonts w:ascii="仿宋" w:hAnsi="仿宋" w:eastAsia="仿宋" w:cs="仿宋"/>
          <w:sz w:val="28"/>
          <w:szCs w:val="28"/>
        </w:rPr>
      </w:pPr>
      <w:r>
        <w:rPr>
          <w:rFonts w:hint="eastAsia" w:ascii="仿宋" w:hAnsi="仿宋" w:eastAsia="仿宋" w:cs="仿宋"/>
          <w:sz w:val="28"/>
          <w:szCs w:val="28"/>
        </w:rPr>
        <w:t>（二）投标文件文字和计量单位</w:t>
      </w:r>
    </w:p>
    <w:p>
      <w:pPr>
        <w:ind w:firstLine="560" w:firstLineChars="200"/>
        <w:rPr>
          <w:rFonts w:ascii="仿宋" w:hAnsi="仿宋" w:eastAsia="仿宋" w:cs="仿宋"/>
          <w:sz w:val="28"/>
          <w:szCs w:val="28"/>
        </w:rPr>
      </w:pPr>
      <w:r>
        <w:rPr>
          <w:rFonts w:hint="eastAsia" w:ascii="仿宋" w:hAnsi="仿宋" w:eastAsia="仿宋" w:cs="仿宋"/>
          <w:sz w:val="28"/>
          <w:szCs w:val="28"/>
        </w:rPr>
        <w:t>1. 投标人提交的投标文件，包括技术文件、资料说明等，以及投标人与招标人就有关投标的所有来往函电均应使用中文。</w:t>
      </w:r>
    </w:p>
    <w:p>
      <w:pPr>
        <w:ind w:firstLine="560" w:firstLineChars="200"/>
        <w:rPr>
          <w:rFonts w:ascii="仿宋" w:hAnsi="仿宋" w:eastAsia="仿宋" w:cs="仿宋"/>
          <w:sz w:val="28"/>
          <w:szCs w:val="28"/>
        </w:rPr>
      </w:pPr>
      <w:r>
        <w:rPr>
          <w:rFonts w:hint="eastAsia" w:ascii="仿宋" w:hAnsi="仿宋" w:eastAsia="仿宋" w:cs="仿宋"/>
          <w:sz w:val="28"/>
          <w:szCs w:val="28"/>
        </w:rPr>
        <w:t>2. 投标文件中所使用的计量单位除招标文件中有特殊规定外，一律使用国家法定计量单位。</w:t>
      </w:r>
    </w:p>
    <w:p>
      <w:pPr>
        <w:ind w:firstLine="560" w:firstLineChars="200"/>
        <w:rPr>
          <w:rFonts w:ascii="仿宋" w:hAnsi="仿宋" w:eastAsia="仿宋" w:cs="仿宋"/>
          <w:sz w:val="28"/>
          <w:szCs w:val="28"/>
        </w:rPr>
      </w:pPr>
      <w:r>
        <w:rPr>
          <w:rFonts w:hint="eastAsia" w:ascii="仿宋" w:hAnsi="仿宋" w:eastAsia="仿宋" w:cs="仿宋"/>
          <w:sz w:val="28"/>
          <w:szCs w:val="28"/>
        </w:rPr>
        <w:t>（三）投标文件的递交</w:t>
      </w:r>
    </w:p>
    <w:p>
      <w:pPr>
        <w:ind w:firstLine="560" w:firstLineChars="200"/>
        <w:rPr>
          <w:rFonts w:ascii="仿宋" w:hAnsi="仿宋" w:eastAsia="仿宋" w:cs="仿宋"/>
          <w:sz w:val="28"/>
          <w:szCs w:val="28"/>
        </w:rPr>
      </w:pPr>
      <w:r>
        <w:rPr>
          <w:rFonts w:hint="eastAsia" w:ascii="仿宋" w:hAnsi="仿宋" w:eastAsia="仿宋" w:cs="仿宋"/>
          <w:sz w:val="28"/>
          <w:szCs w:val="28"/>
        </w:rPr>
        <w:t>投标人应将投标文件密封，封面注明投标项目、投标单位、联系人、联系电话、投标日期，封口加盖公章，在投标截止日期前送达招标人指定地点。</w:t>
      </w:r>
    </w:p>
    <w:p>
      <w:pPr>
        <w:ind w:firstLine="560" w:firstLineChars="200"/>
        <w:rPr>
          <w:rFonts w:ascii="仿宋" w:hAnsi="仿宋" w:eastAsia="仿宋" w:cs="仿宋"/>
          <w:sz w:val="28"/>
          <w:szCs w:val="28"/>
        </w:rPr>
      </w:pPr>
      <w:r>
        <w:rPr>
          <w:rFonts w:hint="eastAsia" w:ascii="仿宋" w:hAnsi="仿宋" w:eastAsia="仿宋" w:cs="仿宋"/>
          <w:sz w:val="28"/>
          <w:szCs w:val="28"/>
        </w:rPr>
        <w:t>（四）投标报价</w:t>
      </w:r>
    </w:p>
    <w:p>
      <w:pPr>
        <w:numPr>
          <w:ilvl w:val="0"/>
          <w:numId w:val="2"/>
        </w:numPr>
        <w:ind w:left="-12" w:firstLine="560" w:firstLineChars="200"/>
        <w:rPr>
          <w:rFonts w:ascii="仿宋" w:hAnsi="仿宋" w:eastAsia="仿宋" w:cs="仿宋"/>
          <w:sz w:val="28"/>
          <w:szCs w:val="28"/>
        </w:rPr>
      </w:pPr>
      <w:r>
        <w:rPr>
          <w:rFonts w:hint="eastAsia" w:ascii="仿宋" w:hAnsi="仿宋" w:eastAsia="仿宋" w:cs="仿宋"/>
          <w:sz w:val="28"/>
          <w:szCs w:val="28"/>
        </w:rPr>
        <w:t>投标人须对所有项目内容作完整唯一的报价，</w:t>
      </w:r>
      <w:r>
        <w:rPr>
          <w:rFonts w:hint="eastAsia" w:ascii="仿宋" w:hAnsi="仿宋" w:eastAsia="仿宋" w:cs="仿宋"/>
          <w:sz w:val="28"/>
          <w:lang w:val="zh-CN"/>
        </w:rPr>
        <w:t>只允许有一个报价，</w:t>
      </w:r>
      <w:r>
        <w:rPr>
          <w:rFonts w:hint="eastAsia" w:ascii="仿宋" w:hAnsi="仿宋" w:eastAsia="仿宋" w:cs="仿宋"/>
          <w:sz w:val="28"/>
          <w:szCs w:val="28"/>
        </w:rPr>
        <w:t>统一按人民币报价。</w:t>
      </w:r>
    </w:p>
    <w:p>
      <w:pPr>
        <w:numPr>
          <w:ilvl w:val="0"/>
          <w:numId w:val="2"/>
        </w:numPr>
        <w:ind w:left="-12" w:firstLine="560" w:firstLineChars="200"/>
        <w:rPr>
          <w:rFonts w:ascii="仿宋" w:hAnsi="仿宋" w:eastAsia="仿宋" w:cs="仿宋"/>
          <w:sz w:val="28"/>
          <w:szCs w:val="28"/>
        </w:rPr>
      </w:pPr>
      <w:r>
        <w:rPr>
          <w:rFonts w:hint="eastAsia" w:ascii="仿宋" w:hAnsi="仿宋" w:eastAsia="仿宋" w:cs="仿宋"/>
          <w:sz w:val="28"/>
          <w:szCs w:val="28"/>
        </w:rPr>
        <w:t>投标报价应包含所有必要</w:t>
      </w:r>
      <w:r>
        <w:rPr>
          <w:rFonts w:hint="eastAsia" w:ascii="仿宋" w:hAnsi="仿宋" w:eastAsia="仿宋" w:cs="仿宋"/>
          <w:sz w:val="28"/>
          <w:szCs w:val="28"/>
          <w:lang w:eastAsia="zh-CN"/>
        </w:rPr>
        <w:t>的</w:t>
      </w:r>
      <w:r>
        <w:rPr>
          <w:rFonts w:hint="eastAsia" w:ascii="仿宋" w:hAnsi="仿宋" w:eastAsia="仿宋" w:cs="仿宋"/>
          <w:sz w:val="28"/>
          <w:szCs w:val="28"/>
        </w:rPr>
        <w:t>服务、各项税费及项目实施过程中不可预见的所有费用。</w:t>
      </w:r>
    </w:p>
    <w:p>
      <w:pPr>
        <w:numPr>
          <w:ilvl w:val="0"/>
          <w:numId w:val="3"/>
        </w:numPr>
        <w:ind w:firstLine="560" w:firstLineChars="200"/>
        <w:rPr>
          <w:rFonts w:ascii="仿宋" w:hAnsi="仿宋" w:eastAsia="仿宋" w:cs="仿宋"/>
          <w:sz w:val="28"/>
          <w:szCs w:val="28"/>
        </w:rPr>
      </w:pPr>
      <w:r>
        <w:rPr>
          <w:rFonts w:hint="eastAsia" w:ascii="仿宋" w:hAnsi="仿宋" w:eastAsia="仿宋" w:cs="仿宋"/>
          <w:sz w:val="28"/>
          <w:szCs w:val="28"/>
        </w:rPr>
        <w:t>投标有效期</w:t>
      </w:r>
    </w:p>
    <w:p>
      <w:pPr>
        <w:rPr>
          <w:rFonts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t>从提交投标文件截止日起计算90日</w:t>
      </w:r>
      <w:r>
        <w:rPr>
          <w:rFonts w:hint="eastAsia" w:ascii="仿宋" w:hAnsi="仿宋" w:eastAsia="仿宋" w:cs="仿宋"/>
          <w:sz w:val="28"/>
          <w:szCs w:val="28"/>
        </w:rPr>
        <w:t>内。</w:t>
      </w:r>
    </w:p>
    <w:p>
      <w:pPr>
        <w:ind w:firstLine="560" w:firstLineChars="200"/>
        <w:rPr>
          <w:rFonts w:ascii="仿宋" w:hAnsi="仿宋" w:eastAsia="仿宋" w:cs="仿宋"/>
          <w:sz w:val="28"/>
          <w:szCs w:val="28"/>
        </w:rPr>
      </w:pPr>
      <w:r>
        <w:rPr>
          <w:rFonts w:hint="eastAsia" w:ascii="仿宋" w:hAnsi="仿宋" w:eastAsia="仿宋" w:cs="仿宋"/>
          <w:sz w:val="28"/>
          <w:szCs w:val="28"/>
        </w:rPr>
        <w:t>（六）投标文件的组成</w:t>
      </w:r>
    </w:p>
    <w:p>
      <w:pPr>
        <w:ind w:firstLine="560" w:firstLineChars="200"/>
        <w:rPr>
          <w:rFonts w:ascii="仿宋" w:hAnsi="仿宋" w:eastAsia="仿宋" w:cs="仿宋"/>
          <w:sz w:val="28"/>
          <w:szCs w:val="28"/>
        </w:rPr>
      </w:pPr>
      <w:r>
        <w:rPr>
          <w:rFonts w:hint="eastAsia" w:ascii="仿宋" w:hAnsi="仿宋" w:eastAsia="仿宋" w:cs="仿宋"/>
          <w:sz w:val="28"/>
          <w:szCs w:val="28"/>
        </w:rPr>
        <w:t>投标人编写的投标文件应包括</w:t>
      </w:r>
      <w:r>
        <w:rPr>
          <w:rFonts w:hint="eastAsia" w:ascii="仿宋" w:hAnsi="仿宋" w:eastAsia="仿宋" w:cs="仿宋"/>
          <w:b/>
          <w:bCs/>
          <w:color w:val="FF0000"/>
          <w:sz w:val="28"/>
          <w:szCs w:val="28"/>
        </w:rPr>
        <w:t>下列内容</w:t>
      </w:r>
      <w:r>
        <w:rPr>
          <w:rFonts w:hint="eastAsia" w:ascii="仿宋" w:hAnsi="仿宋" w:eastAsia="仿宋" w:cs="仿宋"/>
          <w:sz w:val="28"/>
          <w:szCs w:val="28"/>
        </w:rPr>
        <w:t>，需加盖公章：</w:t>
      </w:r>
    </w:p>
    <w:p>
      <w:pPr>
        <w:spacing w:line="600" w:lineRule="auto"/>
        <w:ind w:firstLine="800" w:firstLineChars="250"/>
        <w:rPr>
          <w:rFonts w:hint="eastAsia" w:ascii="仿宋_GB2312" w:hAnsi="宋体" w:eastAsia="仿宋_GB2312"/>
          <w:sz w:val="32"/>
          <w:szCs w:val="32"/>
        </w:rPr>
      </w:pPr>
      <w:r>
        <w:rPr>
          <w:rFonts w:hint="eastAsia" w:ascii="仿宋_GB2312" w:hAnsi="宋体" w:eastAsia="仿宋_GB2312"/>
          <w:sz w:val="32"/>
          <w:szCs w:val="32"/>
        </w:rPr>
        <w:t>1、保险项目及相关内容</w:t>
      </w:r>
    </w:p>
    <w:p>
      <w:pPr>
        <w:spacing w:line="600" w:lineRule="auto"/>
        <w:ind w:firstLine="800" w:firstLineChars="250"/>
        <w:rPr>
          <w:rFonts w:hint="eastAsia" w:ascii="仿宋_GB2312" w:hAnsi="宋体" w:eastAsia="仿宋_GB2312"/>
          <w:sz w:val="32"/>
          <w:szCs w:val="32"/>
        </w:rPr>
      </w:pPr>
      <w:r>
        <w:rPr>
          <w:rFonts w:hint="eastAsia" w:ascii="仿宋_GB2312" w:eastAsia="仿宋_GB2312"/>
          <w:sz w:val="32"/>
          <w:szCs w:val="32"/>
        </w:rPr>
        <w:t>2、保险责任；</w:t>
      </w:r>
    </w:p>
    <w:p>
      <w:pPr>
        <w:spacing w:line="600" w:lineRule="auto"/>
        <w:ind w:firstLine="800" w:firstLineChars="250"/>
        <w:rPr>
          <w:rFonts w:hint="eastAsia" w:ascii="仿宋_GB2312" w:hAnsi="宋体" w:eastAsia="仿宋_GB2312"/>
          <w:sz w:val="32"/>
          <w:szCs w:val="32"/>
        </w:rPr>
      </w:pPr>
      <w:r>
        <w:rPr>
          <w:rFonts w:hint="eastAsia" w:ascii="仿宋_GB2312" w:hAnsi="宋体" w:eastAsia="仿宋_GB2312"/>
          <w:sz w:val="32"/>
          <w:szCs w:val="32"/>
        </w:rPr>
        <w:t>3、</w:t>
      </w:r>
      <w:r>
        <w:rPr>
          <w:rFonts w:hint="eastAsia" w:ascii="仿宋_GB2312" w:eastAsia="仿宋_GB2312"/>
          <w:sz w:val="32"/>
          <w:szCs w:val="32"/>
        </w:rPr>
        <w:t>优惠承诺；</w:t>
      </w:r>
    </w:p>
    <w:p>
      <w:pPr>
        <w:spacing w:line="600" w:lineRule="auto"/>
        <w:ind w:firstLine="800" w:firstLineChars="250"/>
        <w:rPr>
          <w:rFonts w:hint="eastAsia" w:ascii="仿宋_GB2312" w:hAnsi="宋体" w:eastAsia="仿宋_GB2312"/>
          <w:sz w:val="32"/>
          <w:szCs w:val="32"/>
        </w:rPr>
      </w:pPr>
      <w:r>
        <w:rPr>
          <w:rFonts w:hint="eastAsia" w:ascii="仿宋_GB2312" w:hAnsi="宋体" w:eastAsia="仿宋_GB2312"/>
          <w:sz w:val="32"/>
          <w:szCs w:val="32"/>
        </w:rPr>
        <w:t>4、服务承诺；</w:t>
      </w:r>
    </w:p>
    <w:p>
      <w:pPr>
        <w:spacing w:line="600" w:lineRule="auto"/>
        <w:ind w:firstLine="800" w:firstLineChars="250"/>
        <w:rPr>
          <w:rFonts w:hint="eastAsia" w:ascii="仿宋_GB2312" w:hAnsi="宋体" w:eastAsia="仿宋_GB2312"/>
          <w:sz w:val="32"/>
          <w:szCs w:val="32"/>
        </w:rPr>
      </w:pPr>
      <w:r>
        <w:rPr>
          <w:rFonts w:hint="eastAsia" w:ascii="仿宋_GB2312" w:hAnsi="宋体" w:eastAsia="仿宋_GB2312"/>
          <w:sz w:val="32"/>
          <w:szCs w:val="32"/>
        </w:rPr>
        <w:t>5、</w:t>
      </w:r>
      <w:r>
        <w:rPr>
          <w:rFonts w:hint="eastAsia" w:ascii="仿宋_GB2312" w:eastAsia="仿宋_GB2312"/>
          <w:sz w:val="32"/>
          <w:szCs w:val="32"/>
        </w:rPr>
        <w:t>合格投标人所具备的相关材料</w:t>
      </w:r>
      <w:r>
        <w:rPr>
          <w:rFonts w:hint="eastAsia" w:ascii="仿宋_GB2312" w:eastAsia="仿宋_GB2312"/>
          <w:sz w:val="32"/>
          <w:szCs w:val="32"/>
          <w:lang w:val="en-US" w:eastAsia="zh-CN"/>
        </w:rPr>
        <w:t xml:space="preserve"> </w:t>
      </w:r>
      <w:r>
        <w:rPr>
          <w:rFonts w:hint="eastAsia" w:ascii="仿宋_GB2312" w:eastAsia="仿宋_GB2312"/>
          <w:sz w:val="32"/>
          <w:szCs w:val="32"/>
        </w:rPr>
        <w:t>；</w:t>
      </w:r>
    </w:p>
    <w:p>
      <w:pPr>
        <w:spacing w:line="600" w:lineRule="auto"/>
        <w:ind w:firstLine="800" w:firstLineChars="250"/>
        <w:rPr>
          <w:rFonts w:hint="eastAsia" w:ascii="仿宋_GB2312" w:hAnsi="宋体" w:eastAsia="仿宋_GB2312"/>
          <w:sz w:val="32"/>
          <w:szCs w:val="32"/>
        </w:rPr>
      </w:pPr>
      <w:r>
        <w:rPr>
          <w:rFonts w:hint="eastAsia" w:ascii="仿宋_GB2312" w:hAnsi="宋体" w:eastAsia="仿宋_GB2312"/>
          <w:sz w:val="32"/>
          <w:szCs w:val="32"/>
        </w:rPr>
        <w:t>6、投标委托人的身份证复印件。</w:t>
      </w:r>
    </w:p>
    <w:p>
      <w:pPr>
        <w:spacing w:line="600" w:lineRule="auto"/>
        <w:ind w:firstLine="800" w:firstLineChars="250"/>
        <w:rPr>
          <w:rFonts w:hint="eastAsia" w:ascii="仿宋_GB2312" w:eastAsia="仿宋_GB2312"/>
          <w:sz w:val="32"/>
          <w:szCs w:val="32"/>
        </w:rPr>
      </w:pPr>
      <w:r>
        <w:rPr>
          <w:rFonts w:hint="eastAsia" w:ascii="仿宋_GB2312" w:eastAsia="仿宋_GB2312"/>
          <w:sz w:val="32"/>
          <w:szCs w:val="32"/>
        </w:rPr>
        <w:t>7、近三年来类似成功案例（大学、中学合同扫描件及其投保人评价）</w:t>
      </w:r>
    </w:p>
    <w:p>
      <w:pPr>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 xml:space="preserve"> 投标人需提供以下</w:t>
      </w:r>
      <w:r>
        <w:rPr>
          <w:rFonts w:hint="eastAsia" w:ascii="仿宋" w:hAnsi="仿宋" w:eastAsia="仿宋" w:cs="仿宋"/>
          <w:sz w:val="28"/>
        </w:rPr>
        <w:t>资格、资质</w:t>
      </w:r>
      <w:r>
        <w:rPr>
          <w:rFonts w:hint="eastAsia" w:ascii="仿宋" w:hAnsi="仿宋" w:eastAsia="仿宋" w:cs="仿宋"/>
          <w:sz w:val="28"/>
          <w:szCs w:val="28"/>
        </w:rPr>
        <w:t>文件：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（1）营业执照（副本）复印件；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（2）税务登记证（副本）复印件；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（3）组织机构代码（副本）复印件；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开户银行资信证明、经审计的近一年的财务三大报表及近三年的成功案例；</w:t>
      </w:r>
    </w:p>
    <w:p>
      <w:pPr>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 xml:space="preserve"> 投标方认为需要提交的其他文件。</w:t>
      </w:r>
    </w:p>
    <w:p>
      <w:pPr>
        <w:jc w:val="center"/>
        <w:outlineLvl w:val="1"/>
        <w:rPr>
          <w:rFonts w:ascii="仿宋_GB2312" w:hAnsi="仿宋_GB2312" w:eastAsia="仿宋_GB2312"/>
          <w:sz w:val="28"/>
        </w:rPr>
      </w:pPr>
      <w:bookmarkStart w:id="28" w:name="_Toc373485994"/>
      <w:bookmarkStart w:id="29" w:name="_Toc373486307"/>
      <w:bookmarkStart w:id="30" w:name="_Toc373500460"/>
      <w:r>
        <w:rPr>
          <w:rFonts w:hint="eastAsia" w:ascii="仿宋_GB2312" w:hAnsi="仿宋_GB2312" w:eastAsia="仿宋_GB2312"/>
          <w:b/>
          <w:bCs/>
          <w:sz w:val="32"/>
          <w:szCs w:val="28"/>
        </w:rPr>
        <w:t>四、开标及评标</w:t>
      </w:r>
      <w:bookmarkEnd w:id="28"/>
      <w:bookmarkEnd w:id="29"/>
      <w:bookmarkEnd w:id="30"/>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开评标由中山大学新华学院评标小组主持，可邀请所有投标人代表持本人身份证参加。</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投标人须携带招标文件在规定时间到达指定地点等候，有相关技术人员参加开评标的，须携带证明其身份的证件方可参加。</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允许投标代表人现场进行讲解。</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评标是以招标文件和投标文件为依据，按照招标文件中规定的各项条件进行综合评审，采取少数服从多数原则，以评标总得分前两名的投标人作为中标候选供应商进行商务谈判及二次报价以确定中标者。</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评标标准</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提供最合理的方案及投标报价；</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投标人的信誉、业绩及质保体系；</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投标人的服务水平及承诺；</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投标人对招标文件中合同条款的响应。</w:t>
      </w:r>
    </w:p>
    <w:p>
      <w:pPr>
        <w:numPr>
          <w:ilvl w:val="0"/>
          <w:numId w:val="4"/>
        </w:numPr>
        <w:tabs>
          <w:tab w:val="left" w:pos="0"/>
        </w:tabs>
        <w:ind w:left="-10" w:firstLine="560" w:firstLineChars="200"/>
        <w:rPr>
          <w:rFonts w:ascii="仿宋" w:hAnsi="仿宋" w:eastAsia="仿宋" w:cs="仿宋"/>
          <w:sz w:val="28"/>
          <w:szCs w:val="28"/>
        </w:rPr>
      </w:pPr>
      <w:r>
        <w:rPr>
          <w:rFonts w:hint="eastAsia" w:ascii="仿宋" w:hAnsi="仿宋" w:eastAsia="仿宋" w:cs="仿宋"/>
          <w:sz w:val="28"/>
          <w:szCs w:val="28"/>
        </w:rPr>
        <w:t>投标文件出现下列任意情形之一的可认定为无效投标：</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不具备招标文件中规定资格要求的；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未按招标文件规定要求密封、签署、盖章的；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投标人以他人的名义投标、串通投标、以行贿手段谋取中标或以其他弄虚作假方式投标的；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投标文件在投递过程中密封袋破损程度足以影响开评标公平、公正性的；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投标文件粗制滥造</w:t>
      </w:r>
      <w:r>
        <w:rPr>
          <w:rFonts w:ascii="仿宋" w:hAnsi="仿宋" w:eastAsia="仿宋" w:cs="仿宋"/>
          <w:sz w:val="28"/>
          <w:szCs w:val="28"/>
        </w:rPr>
        <w:t>，内容自相矛盾的；</w:t>
      </w:r>
    </w:p>
    <w:p>
      <w:pPr>
        <w:numPr>
          <w:ilvl w:val="0"/>
          <w:numId w:val="6"/>
        </w:numPr>
        <w:ind w:left="-10" w:firstLine="560" w:firstLineChars="200"/>
        <w:rPr>
          <w:rFonts w:ascii="仿宋" w:hAnsi="仿宋" w:eastAsia="仿宋" w:cs="仿宋"/>
          <w:sz w:val="28"/>
          <w:szCs w:val="28"/>
        </w:rPr>
      </w:pPr>
      <w:r>
        <w:rPr>
          <w:rFonts w:hint="eastAsia" w:ascii="仿宋" w:hAnsi="仿宋" w:eastAsia="仿宋" w:cs="仿宋"/>
          <w:sz w:val="28"/>
          <w:szCs w:val="28"/>
        </w:rPr>
        <w:t>不符合法律、法规和招标文件中规定的其他实质性要求的。</w:t>
      </w:r>
    </w:p>
    <w:p>
      <w:pPr>
        <w:numPr>
          <w:ilvl w:val="0"/>
          <w:numId w:val="4"/>
        </w:numPr>
        <w:tabs>
          <w:tab w:val="left" w:pos="0"/>
        </w:tabs>
        <w:ind w:left="-12" w:firstLine="560" w:firstLineChars="200"/>
        <w:rPr>
          <w:rFonts w:ascii="仿宋" w:hAnsi="仿宋" w:eastAsia="仿宋" w:cs="仿宋"/>
          <w:sz w:val="28"/>
          <w:szCs w:val="28"/>
        </w:rPr>
      </w:pPr>
      <w:r>
        <w:rPr>
          <w:rFonts w:hint="eastAsia" w:ascii="仿宋" w:hAnsi="仿宋" w:eastAsia="仿宋" w:cs="仿宋"/>
          <w:sz w:val="28"/>
          <w:szCs w:val="28"/>
        </w:rPr>
        <w:t>投标文件的澄清</w:t>
      </w:r>
    </w:p>
    <w:p>
      <w:pPr>
        <w:pStyle w:val="36"/>
        <w:numPr>
          <w:ilvl w:val="0"/>
          <w:numId w:val="7"/>
        </w:numPr>
        <w:ind w:firstLineChars="0"/>
        <w:rPr>
          <w:rFonts w:ascii="仿宋" w:hAnsi="仿宋" w:eastAsia="仿宋" w:cs="仿宋"/>
          <w:sz w:val="28"/>
          <w:szCs w:val="28"/>
        </w:rPr>
      </w:pPr>
      <w:r>
        <w:rPr>
          <w:rFonts w:hint="eastAsia" w:ascii="仿宋" w:hAnsi="仿宋" w:eastAsia="仿宋" w:cs="仿宋"/>
          <w:sz w:val="28"/>
          <w:szCs w:val="28"/>
        </w:rPr>
        <w:t>对投标文件中含义不明确的，评标小组可以要求投标人代表作出必要的澄清、说明。</w:t>
      </w:r>
    </w:p>
    <w:p>
      <w:pPr>
        <w:numPr>
          <w:ilvl w:val="0"/>
          <w:numId w:val="7"/>
        </w:numPr>
        <w:ind w:left="-12" w:firstLine="560" w:firstLineChars="200"/>
        <w:rPr>
          <w:rFonts w:ascii="仿宋" w:hAnsi="仿宋" w:eastAsia="仿宋" w:cs="仿宋"/>
          <w:sz w:val="28"/>
          <w:szCs w:val="28"/>
        </w:rPr>
      </w:pPr>
      <w:r>
        <w:rPr>
          <w:rFonts w:hint="eastAsia" w:ascii="仿宋" w:hAnsi="仿宋" w:eastAsia="仿宋" w:cs="仿宋"/>
          <w:sz w:val="28"/>
          <w:szCs w:val="28"/>
        </w:rPr>
        <w:t>投标人的澄清、说明应当采用书面形式，由其授权代表签字。</w:t>
      </w:r>
    </w:p>
    <w:p>
      <w:pPr>
        <w:numPr>
          <w:ilvl w:val="0"/>
          <w:numId w:val="7"/>
        </w:numPr>
        <w:ind w:left="-12" w:firstLine="560" w:firstLineChars="200"/>
        <w:rPr>
          <w:rFonts w:ascii="仿宋" w:hAnsi="仿宋" w:eastAsia="仿宋" w:cs="仿宋"/>
          <w:sz w:val="28"/>
          <w:szCs w:val="28"/>
        </w:rPr>
      </w:pPr>
      <w:r>
        <w:rPr>
          <w:rFonts w:hint="eastAsia" w:ascii="仿宋" w:hAnsi="仿宋" w:eastAsia="仿宋" w:cs="仿宋"/>
          <w:sz w:val="28"/>
          <w:szCs w:val="28"/>
        </w:rPr>
        <w:t>评标小组可以要求投标人代表进行二次报价，须密封提交。</w:t>
      </w:r>
    </w:p>
    <w:p>
      <w:pPr>
        <w:numPr>
          <w:ilvl w:val="0"/>
          <w:numId w:val="4"/>
        </w:numPr>
        <w:tabs>
          <w:tab w:val="left" w:pos="0"/>
        </w:tabs>
        <w:ind w:left="-12" w:firstLine="560" w:firstLineChars="200"/>
        <w:rPr>
          <w:rFonts w:ascii="仿宋" w:hAnsi="仿宋" w:eastAsia="仿宋" w:cs="仿宋"/>
          <w:sz w:val="28"/>
          <w:szCs w:val="28"/>
        </w:rPr>
      </w:pPr>
      <w:r>
        <w:rPr>
          <w:rFonts w:hint="eastAsia" w:ascii="仿宋" w:hAnsi="仿宋" w:eastAsia="仿宋" w:cs="仿宋"/>
          <w:sz w:val="28"/>
          <w:szCs w:val="28"/>
        </w:rPr>
        <w:t>注意事项</w:t>
      </w:r>
    </w:p>
    <w:p>
      <w:pPr>
        <w:numPr>
          <w:ilvl w:val="0"/>
          <w:numId w:val="8"/>
        </w:numPr>
        <w:ind w:left="-12" w:firstLine="560" w:firstLineChars="200"/>
        <w:rPr>
          <w:rFonts w:ascii="仿宋" w:hAnsi="仿宋" w:eastAsia="仿宋" w:cs="仿宋"/>
          <w:sz w:val="28"/>
          <w:szCs w:val="28"/>
        </w:rPr>
      </w:pPr>
      <w:r>
        <w:rPr>
          <w:rFonts w:hint="eastAsia" w:ascii="仿宋" w:hAnsi="仿宋" w:eastAsia="仿宋" w:cs="仿宋"/>
          <w:sz w:val="28"/>
          <w:szCs w:val="28"/>
        </w:rPr>
        <w:t>在开标、评标期间，投标人不得向评标小组询问评标情况，不得进行旨在影响评标结果的活动。</w:t>
      </w:r>
    </w:p>
    <w:p>
      <w:pPr>
        <w:numPr>
          <w:ilvl w:val="0"/>
          <w:numId w:val="8"/>
        </w:numPr>
        <w:ind w:left="-12" w:firstLine="560" w:firstLineChars="200"/>
        <w:rPr>
          <w:rFonts w:ascii="仿宋" w:hAnsi="仿宋" w:eastAsia="仿宋" w:cs="仿宋"/>
          <w:sz w:val="28"/>
          <w:szCs w:val="28"/>
        </w:rPr>
      </w:pPr>
      <w:r>
        <w:rPr>
          <w:rFonts w:hint="eastAsia" w:ascii="仿宋" w:hAnsi="仿宋" w:eastAsia="仿宋" w:cs="仿宋"/>
          <w:sz w:val="28"/>
          <w:szCs w:val="28"/>
        </w:rPr>
        <w:t>评标小组无义务对评标结果作任何的解释，不退回投标文件。</w:t>
      </w:r>
    </w:p>
    <w:p>
      <w:pPr>
        <w:tabs>
          <w:tab w:val="left" w:pos="2500"/>
        </w:tabs>
        <w:rPr>
          <w:rFonts w:ascii="仿宋_GB2312" w:hAnsi="仿宋_GB2312" w:eastAsia="仿宋_GB2312"/>
          <w:sz w:val="28"/>
        </w:rPr>
      </w:pPr>
      <w:r>
        <w:rPr>
          <w:rFonts w:ascii="仿宋_GB2312" w:hAnsi="仿宋_GB2312" w:eastAsia="仿宋_GB2312"/>
          <w:sz w:val="28"/>
        </w:rPr>
        <w:tab/>
      </w:r>
    </w:p>
    <w:p>
      <w:pPr>
        <w:rPr>
          <w:rFonts w:ascii="仿宋_GB2312" w:hAnsi="仿宋_GB2312" w:eastAsia="仿宋_GB2312"/>
          <w:sz w:val="28"/>
        </w:rPr>
      </w:pPr>
    </w:p>
    <w:p>
      <w:pPr>
        <w:spacing w:before="312" w:beforeLines="100" w:after="312" w:afterLines="100"/>
        <w:jc w:val="center"/>
        <w:outlineLvl w:val="0"/>
        <w:rPr>
          <w:rFonts w:ascii="黑体" w:hAnsi="黑体" w:eastAsia="黑体" w:cs="黑体"/>
          <w:sz w:val="44"/>
          <w:szCs w:val="44"/>
        </w:rPr>
      </w:pPr>
      <w:bookmarkStart w:id="31" w:name="_Toc373486308"/>
      <w:bookmarkStart w:id="32" w:name="_Toc373500461"/>
      <w:bookmarkStart w:id="33" w:name="_Toc373485995"/>
      <w:r>
        <w:rPr>
          <w:rFonts w:ascii="黑体" w:hAnsi="黑体" w:eastAsia="黑体" w:cs="黑体"/>
          <w:sz w:val="44"/>
          <w:szCs w:val="44"/>
        </w:rPr>
        <w:br w:type="page"/>
      </w:r>
      <w:r>
        <w:rPr>
          <w:rFonts w:hint="eastAsia" w:ascii="黑体" w:hAnsi="黑体" w:eastAsia="黑体" w:cs="黑体"/>
          <w:sz w:val="44"/>
          <w:szCs w:val="44"/>
        </w:rPr>
        <w:t>第三部分 招标项目清单及</w:t>
      </w:r>
      <w:r>
        <w:rPr>
          <w:rFonts w:hint="eastAsia" w:ascii="黑体" w:hAnsi="黑体" w:eastAsia="黑体" w:cs="黑体"/>
          <w:sz w:val="44"/>
          <w:szCs w:val="44"/>
          <w:lang w:eastAsia="zh-CN"/>
        </w:rPr>
        <w:t>服务</w:t>
      </w:r>
      <w:r>
        <w:rPr>
          <w:rFonts w:hint="eastAsia" w:ascii="黑体" w:hAnsi="黑体" w:eastAsia="黑体" w:cs="黑体"/>
          <w:sz w:val="44"/>
          <w:szCs w:val="44"/>
        </w:rPr>
        <w:t>要求</w:t>
      </w:r>
      <w:bookmarkEnd w:id="31"/>
      <w:bookmarkEnd w:id="32"/>
      <w:bookmarkEnd w:id="33"/>
    </w:p>
    <w:p>
      <w:pPr>
        <w:jc w:val="center"/>
        <w:rPr>
          <w:rFonts w:ascii="仿宋" w:hAnsi="仿宋" w:eastAsia="仿宋" w:cs="宋体"/>
          <w:color w:val="000000"/>
          <w:kern w:val="0"/>
          <w:sz w:val="24"/>
        </w:rPr>
      </w:pPr>
      <w:bookmarkStart w:id="34" w:name="_Toc373500462"/>
      <w:bookmarkStart w:id="35" w:name="_Toc373485996"/>
      <w:bookmarkStart w:id="36" w:name="_Toc373486309"/>
      <w:r>
        <w:rPr>
          <w:rFonts w:hint="eastAsia" w:ascii="仿宋" w:hAnsi="仿宋" w:eastAsia="仿宋" w:cs="宋体"/>
          <w:color w:val="000000"/>
          <w:kern w:val="0"/>
          <w:sz w:val="24"/>
        </w:rPr>
        <w:t>（如</w:t>
      </w:r>
      <w:r>
        <w:rPr>
          <w:rFonts w:ascii="仿宋" w:hAnsi="仿宋" w:eastAsia="仿宋" w:cs="宋体"/>
          <w:color w:val="000000"/>
          <w:kern w:val="0"/>
          <w:sz w:val="24"/>
        </w:rPr>
        <w:t>需</w:t>
      </w:r>
      <w:r>
        <w:rPr>
          <w:rFonts w:hint="eastAsia" w:ascii="仿宋" w:hAnsi="仿宋" w:eastAsia="仿宋" w:cs="宋体"/>
          <w:color w:val="000000"/>
          <w:kern w:val="0"/>
          <w:sz w:val="24"/>
        </w:rPr>
        <w:t>了解</w:t>
      </w:r>
      <w:r>
        <w:rPr>
          <w:rFonts w:ascii="仿宋" w:hAnsi="仿宋" w:eastAsia="仿宋" w:cs="宋体"/>
          <w:color w:val="000000"/>
          <w:kern w:val="0"/>
          <w:sz w:val="24"/>
        </w:rPr>
        <w:t>更详细</w:t>
      </w:r>
      <w:r>
        <w:rPr>
          <w:rFonts w:hint="eastAsia" w:ascii="仿宋" w:hAnsi="仿宋" w:eastAsia="仿宋" w:cs="宋体"/>
          <w:color w:val="000000"/>
          <w:kern w:val="0"/>
          <w:sz w:val="24"/>
        </w:rPr>
        <w:t>的</w:t>
      </w:r>
      <w:r>
        <w:rPr>
          <w:rFonts w:ascii="仿宋" w:hAnsi="仿宋" w:eastAsia="仿宋" w:cs="宋体"/>
          <w:color w:val="000000"/>
          <w:kern w:val="0"/>
          <w:sz w:val="24"/>
        </w:rPr>
        <w:t>情况及参数</w:t>
      </w:r>
      <w:r>
        <w:rPr>
          <w:rFonts w:hint="eastAsia" w:ascii="仿宋" w:hAnsi="仿宋" w:eastAsia="仿宋" w:cs="宋体"/>
          <w:color w:val="000000"/>
          <w:kern w:val="0"/>
          <w:sz w:val="24"/>
          <w:lang w:eastAsia="zh-CN"/>
        </w:rPr>
        <w:t>，</w:t>
      </w:r>
      <w:r>
        <w:rPr>
          <w:rFonts w:ascii="仿宋" w:hAnsi="仿宋" w:eastAsia="仿宋" w:cs="宋体"/>
          <w:color w:val="000000"/>
          <w:kern w:val="0"/>
          <w:sz w:val="24"/>
        </w:rPr>
        <w:t>可联系</w:t>
      </w:r>
      <w:r>
        <w:rPr>
          <w:rFonts w:hint="eastAsia" w:ascii="仿宋" w:hAnsi="仿宋" w:eastAsia="仿宋" w:cs="宋体"/>
          <w:color w:val="000000"/>
          <w:kern w:val="0"/>
          <w:sz w:val="24"/>
        </w:rPr>
        <w:t>用户老师</w:t>
      </w:r>
      <w:r>
        <w:rPr>
          <w:rFonts w:hint="eastAsia" w:ascii="仿宋" w:hAnsi="仿宋" w:eastAsia="仿宋" w:cs="宋体"/>
          <w:color w:val="000000"/>
          <w:kern w:val="0"/>
          <w:sz w:val="24"/>
          <w:lang w:eastAsia="zh-CN"/>
        </w:rPr>
        <w:t>：黄勇锋老师，</w:t>
      </w:r>
      <w:r>
        <w:rPr>
          <w:rFonts w:hint="eastAsia" w:ascii="仿宋" w:hAnsi="仿宋" w:eastAsia="仿宋" w:cs="宋体"/>
          <w:color w:val="000000"/>
          <w:kern w:val="0"/>
          <w:sz w:val="24"/>
          <w:lang w:val="en-US" w:eastAsia="zh-CN"/>
        </w:rPr>
        <w:t xml:space="preserve">185650647770  </w:t>
      </w:r>
      <w:r>
        <w:rPr>
          <w:rFonts w:hint="eastAsia" w:ascii="仿宋" w:hAnsi="仿宋" w:eastAsia="仿宋" w:cs="宋体"/>
          <w:color w:val="000000"/>
          <w:kern w:val="0"/>
          <w:sz w:val="24"/>
        </w:rPr>
        <w:t>）</w:t>
      </w:r>
    </w:p>
    <w:p>
      <w:pPr>
        <w:tabs>
          <w:tab w:val="left" w:pos="495"/>
        </w:tabs>
        <w:rPr>
          <w:rFonts w:hint="eastAsia" w:ascii="仿宋" w:hAnsi="仿宋" w:eastAsia="仿宋" w:cs="宋体"/>
          <w:b/>
          <w:bCs/>
          <w:color w:val="000000"/>
          <w:kern w:val="0"/>
          <w:sz w:val="28"/>
          <w:szCs w:val="28"/>
          <w:lang w:val="en-US" w:eastAsia="zh-CN"/>
        </w:rPr>
      </w:pPr>
      <w:r>
        <w:rPr>
          <w:rFonts w:hint="eastAsia" w:ascii="仿宋" w:hAnsi="仿宋" w:eastAsia="仿宋" w:cs="宋体"/>
          <w:b/>
          <w:bCs/>
          <w:color w:val="000000"/>
          <w:kern w:val="0"/>
          <w:sz w:val="28"/>
          <w:szCs w:val="28"/>
          <w:lang w:val="en-US" w:eastAsia="zh-CN"/>
        </w:rPr>
        <w:t xml:space="preserve"> 一、服务总要求</w:t>
      </w:r>
    </w:p>
    <w:p>
      <w:pPr>
        <w:tabs>
          <w:tab w:val="left" w:pos="495"/>
        </w:tabs>
        <w:ind w:firstLine="560" w:firstLineChars="200"/>
        <w:rPr>
          <w:sz w:val="28"/>
        </w:rPr>
      </w:pPr>
      <w:r>
        <w:rPr>
          <w:rFonts w:hint="eastAsia"/>
          <w:sz w:val="28"/>
        </w:rPr>
        <w:t>1.</w:t>
      </w:r>
      <w:r>
        <w:rPr>
          <w:rFonts w:hint="eastAsia"/>
          <w:sz w:val="22"/>
        </w:rPr>
        <w:t xml:space="preserve"> </w:t>
      </w:r>
      <w:r>
        <w:rPr>
          <w:rFonts w:hint="eastAsia"/>
          <w:sz w:val="28"/>
          <w:szCs w:val="28"/>
        </w:rPr>
        <w:t>对</w:t>
      </w:r>
      <w:r>
        <w:rPr>
          <w:rFonts w:hint="eastAsia"/>
          <w:sz w:val="28"/>
        </w:rPr>
        <w:t>学院现有绿化（含两个足球场地）、园林（含砍阀修剪）、中药园的种植、养护等项目</w:t>
      </w:r>
      <w:r>
        <w:rPr>
          <w:rFonts w:hint="eastAsia"/>
          <w:sz w:val="28"/>
          <w:lang w:eastAsia="zh-CN"/>
        </w:rPr>
        <w:t>提供</w:t>
      </w:r>
      <w:r>
        <w:rPr>
          <w:rFonts w:hint="eastAsia"/>
          <w:color w:val="FF0000"/>
          <w:sz w:val="28"/>
          <w:lang w:eastAsia="zh-CN"/>
        </w:rPr>
        <w:t>养护</w:t>
      </w:r>
      <w:r>
        <w:rPr>
          <w:rFonts w:hint="eastAsia"/>
          <w:color w:val="FF0000"/>
          <w:sz w:val="28"/>
        </w:rPr>
        <w:t>服务</w:t>
      </w:r>
      <w:r>
        <w:rPr>
          <w:rFonts w:hint="eastAsia"/>
          <w:color w:val="FF0000"/>
          <w:sz w:val="28"/>
          <w:lang w:eastAsia="zh-CN"/>
        </w:rPr>
        <w:t>（仅提供养护服务，工具、肥料、农药等由校方提供）</w:t>
      </w:r>
      <w:r>
        <w:rPr>
          <w:rFonts w:hint="eastAsia"/>
          <w:sz w:val="28"/>
        </w:rPr>
        <w:t>。</w:t>
      </w:r>
    </w:p>
    <w:p>
      <w:pPr>
        <w:tabs>
          <w:tab w:val="left" w:pos="495"/>
        </w:tabs>
        <w:ind w:firstLine="560" w:firstLineChars="200"/>
        <w:rPr>
          <w:sz w:val="28"/>
        </w:rPr>
      </w:pPr>
      <w:r>
        <w:rPr>
          <w:rFonts w:hint="eastAsia"/>
          <w:sz w:val="28"/>
        </w:rPr>
        <w:t>2.本项目负责人必须具备园林中级工程师或以上技术职称，常驻人员中有中药材种植.养护专业证书</w:t>
      </w:r>
      <w:r>
        <w:rPr>
          <w:rFonts w:hint="eastAsia"/>
          <w:sz w:val="28"/>
          <w:lang w:eastAsia="zh-CN"/>
        </w:rPr>
        <w:t>。</w:t>
      </w:r>
      <w:r>
        <w:rPr>
          <w:rFonts w:hint="eastAsia" w:ascii="宋体" w:hAnsi="宋体" w:eastAsia="宋体" w:cs="宋体"/>
          <w:sz w:val="28"/>
          <w:szCs w:val="28"/>
        </w:rPr>
        <w:t>本</w:t>
      </w:r>
      <w:r>
        <w:rPr>
          <w:rFonts w:hint="eastAsia" w:ascii="宋体" w:hAnsi="宋体" w:cs="宋体"/>
          <w:sz w:val="28"/>
          <w:szCs w:val="28"/>
          <w:lang w:eastAsia="zh-CN"/>
        </w:rPr>
        <w:t>项目总人员含</w:t>
      </w:r>
      <w:r>
        <w:rPr>
          <w:rFonts w:hint="eastAsia" w:ascii="宋体" w:hAnsi="宋体" w:eastAsia="宋体" w:cs="宋体"/>
          <w:sz w:val="28"/>
          <w:szCs w:val="28"/>
        </w:rPr>
        <w:t>项目经理</w:t>
      </w:r>
      <w:r>
        <w:rPr>
          <w:rFonts w:hint="eastAsia" w:ascii="宋体" w:hAnsi="宋体" w:cs="宋体"/>
          <w:sz w:val="28"/>
          <w:szCs w:val="28"/>
          <w:lang w:eastAsia="zh-CN"/>
        </w:rPr>
        <w:t>、</w:t>
      </w:r>
      <w:r>
        <w:rPr>
          <w:rFonts w:hint="eastAsia" w:ascii="宋体" w:hAnsi="宋体" w:eastAsia="宋体" w:cs="宋体"/>
          <w:sz w:val="28"/>
          <w:szCs w:val="28"/>
        </w:rPr>
        <w:t>养护主管</w:t>
      </w:r>
      <w:r>
        <w:rPr>
          <w:rFonts w:hint="eastAsia" w:ascii="宋体" w:hAnsi="宋体" w:cs="宋体"/>
          <w:sz w:val="28"/>
          <w:szCs w:val="28"/>
          <w:lang w:eastAsia="zh-CN"/>
        </w:rPr>
        <w:t>、</w:t>
      </w:r>
      <w:r>
        <w:rPr>
          <w:rFonts w:hint="eastAsia" w:ascii="宋体" w:hAnsi="宋体" w:eastAsia="宋体" w:cs="宋体"/>
          <w:sz w:val="28"/>
          <w:szCs w:val="28"/>
        </w:rPr>
        <w:t>绿化工</w:t>
      </w:r>
      <w:r>
        <w:rPr>
          <w:rFonts w:hint="eastAsia" w:ascii="宋体" w:hAnsi="宋体" w:cs="宋体"/>
          <w:sz w:val="28"/>
          <w:szCs w:val="28"/>
          <w:lang w:eastAsia="zh-CN"/>
        </w:rPr>
        <w:t>等，人数</w:t>
      </w:r>
      <w:r>
        <w:rPr>
          <w:rFonts w:hint="eastAsia" w:ascii="宋体" w:hAnsi="宋体" w:cs="宋体"/>
          <w:color w:val="FF0000"/>
          <w:sz w:val="28"/>
          <w:szCs w:val="28"/>
          <w:lang w:val="en-US" w:eastAsia="zh-CN"/>
        </w:rPr>
        <w:t>6人</w:t>
      </w:r>
      <w:r>
        <w:rPr>
          <w:rFonts w:hint="eastAsia" w:ascii="宋体" w:hAnsi="宋体" w:eastAsia="宋体" w:cs="宋体"/>
          <w:sz w:val="28"/>
          <w:szCs w:val="28"/>
        </w:rPr>
        <w:t>。</w:t>
      </w:r>
    </w:p>
    <w:p>
      <w:pPr>
        <w:ind w:firstLine="560" w:firstLineChars="200"/>
        <w:rPr>
          <w:sz w:val="28"/>
        </w:rPr>
      </w:pPr>
      <w:r>
        <w:rPr>
          <w:rFonts w:hint="eastAsia"/>
          <w:sz w:val="28"/>
        </w:rPr>
        <w:t>3. 乔木类没有枯叶，对于可能掉落的叶片需提前处理。</w:t>
      </w:r>
    </w:p>
    <w:p>
      <w:pPr>
        <w:ind w:firstLine="560" w:firstLineChars="200"/>
        <w:rPr>
          <w:sz w:val="28"/>
        </w:rPr>
      </w:pPr>
      <w:r>
        <w:rPr>
          <w:rFonts w:hint="eastAsia"/>
          <w:sz w:val="28"/>
        </w:rPr>
        <w:t>4.所有种植的绿化、园林、中药材必须长势兴旺、枝繁叶茂，该开花的开花、该结果的结果、无病虫害、无杂草。不容许出现非正常的枯萎、发黄、虫害、死亡等现象出现。学校现有园林景观造型参照公园模式，由竟标单位针对学院现状出具体设计方案，供校方选择。对于不同季节的种植、养护措施，各竟标单位以表格形体逞现。</w:t>
      </w:r>
    </w:p>
    <w:p>
      <w:pPr>
        <w:tabs>
          <w:tab w:val="left" w:pos="615"/>
        </w:tabs>
        <w:rPr>
          <w:sz w:val="36"/>
        </w:rPr>
      </w:pPr>
      <w:r>
        <w:rPr>
          <w:sz w:val="28"/>
        </w:rPr>
        <w:tab/>
      </w:r>
      <w:r>
        <w:rPr>
          <w:rFonts w:hint="eastAsia"/>
          <w:sz w:val="28"/>
        </w:rPr>
        <w:t>5.</w:t>
      </w:r>
      <w:r>
        <w:rPr>
          <w:rFonts w:hint="eastAsia"/>
          <w:sz w:val="22"/>
        </w:rPr>
        <w:t xml:space="preserve"> </w:t>
      </w:r>
      <w:r>
        <w:rPr>
          <w:rFonts w:hint="eastAsia"/>
          <w:sz w:val="28"/>
        </w:rPr>
        <w:t>投标单位必须出具为员工购买意外伤害险凭据。对于机械施工、高空砍阀、农药喷洒（含保管）的安全管理措施、 对台风可能造成安全事故做好预防。乙方单位对安全负全责。</w:t>
      </w:r>
    </w:p>
    <w:p>
      <w:pPr>
        <w:tabs>
          <w:tab w:val="left" w:pos="615"/>
        </w:tabs>
        <w:ind w:firstLine="560" w:firstLineChars="200"/>
        <w:rPr>
          <w:sz w:val="28"/>
        </w:rPr>
      </w:pPr>
      <w:r>
        <w:rPr>
          <w:rFonts w:hint="eastAsia"/>
          <w:sz w:val="28"/>
        </w:rPr>
        <w:t>6.本项目不得转包，分包。</w:t>
      </w:r>
    </w:p>
    <w:p>
      <w:pPr>
        <w:ind w:firstLine="560" w:firstLineChars="200"/>
        <w:rPr>
          <w:color w:val="FF0000"/>
          <w:sz w:val="28"/>
        </w:rPr>
      </w:pPr>
      <w:r>
        <w:rPr>
          <w:rFonts w:hint="eastAsia"/>
          <w:sz w:val="28"/>
        </w:rPr>
        <w:t>7.</w:t>
      </w:r>
      <w:r>
        <w:rPr>
          <w:rFonts w:hint="eastAsia"/>
          <w:color w:val="FF0000"/>
          <w:sz w:val="28"/>
        </w:rPr>
        <w:t>本</w:t>
      </w:r>
      <w:r>
        <w:rPr>
          <w:rFonts w:hint="eastAsia"/>
          <w:color w:val="FF0000"/>
          <w:sz w:val="28"/>
          <w:lang w:eastAsia="zh-CN"/>
        </w:rPr>
        <w:t>项目</w:t>
      </w:r>
      <w:r>
        <w:rPr>
          <w:rFonts w:hint="eastAsia"/>
          <w:color w:val="FF0000"/>
          <w:sz w:val="28"/>
        </w:rPr>
        <w:t>中需要</w:t>
      </w:r>
      <w:r>
        <w:rPr>
          <w:rFonts w:hint="eastAsia"/>
          <w:color w:val="FF0000"/>
          <w:sz w:val="28"/>
          <w:lang w:eastAsia="zh-CN"/>
        </w:rPr>
        <w:t>的</w:t>
      </w:r>
      <w:r>
        <w:rPr>
          <w:rFonts w:hint="eastAsia"/>
          <w:color w:val="FF0000"/>
          <w:sz w:val="28"/>
        </w:rPr>
        <w:t>种苗、化肥、农药（注.蛇药.白蚁药.蚂蚁药由乙方负责），由乙方视情提出计划，甲方</w:t>
      </w:r>
      <w:r>
        <w:rPr>
          <w:rFonts w:hint="eastAsia"/>
          <w:color w:val="FF0000"/>
          <w:sz w:val="28"/>
          <w:lang w:eastAsia="zh-CN"/>
        </w:rPr>
        <w:t>提供给乙方</w:t>
      </w:r>
      <w:r>
        <w:rPr>
          <w:rFonts w:hint="eastAsia"/>
          <w:color w:val="FF0000"/>
          <w:sz w:val="28"/>
        </w:rPr>
        <w:t>。</w:t>
      </w:r>
    </w:p>
    <w:p>
      <w:pPr>
        <w:tabs>
          <w:tab w:val="left" w:pos="615"/>
        </w:tabs>
        <w:rPr>
          <w:rFonts w:hint="eastAsia"/>
          <w:sz w:val="28"/>
        </w:rPr>
      </w:pPr>
      <w:r>
        <w:rPr>
          <w:sz w:val="28"/>
        </w:rPr>
        <w:tab/>
      </w:r>
      <w:r>
        <w:rPr>
          <w:rFonts w:hint="eastAsia"/>
          <w:sz w:val="28"/>
        </w:rPr>
        <w:t>8.</w:t>
      </w:r>
      <w:r>
        <w:rPr>
          <w:rFonts w:hint="eastAsia"/>
          <w:sz w:val="22"/>
        </w:rPr>
        <w:t xml:space="preserve"> </w:t>
      </w:r>
      <w:r>
        <w:rPr>
          <w:rFonts w:hint="eastAsia"/>
          <w:color w:val="FF0000"/>
          <w:sz w:val="28"/>
        </w:rPr>
        <w:t>甲方为乙方提供小型工具、机械、农药、化肥仓库</w:t>
      </w:r>
      <w:r>
        <w:rPr>
          <w:rFonts w:hint="eastAsia"/>
          <w:color w:val="FF0000"/>
          <w:sz w:val="28"/>
          <w:lang w:eastAsia="zh-CN"/>
        </w:rPr>
        <w:t>及</w:t>
      </w:r>
      <w:r>
        <w:rPr>
          <w:rFonts w:hint="eastAsia"/>
          <w:color w:val="FF0000"/>
          <w:sz w:val="28"/>
        </w:rPr>
        <w:t>本项目所需作业工具</w:t>
      </w:r>
      <w:r>
        <w:rPr>
          <w:rFonts w:hint="eastAsia"/>
          <w:color w:val="FF0000"/>
          <w:sz w:val="28"/>
          <w:lang w:eastAsia="zh-CN"/>
        </w:rPr>
        <w:t>等</w:t>
      </w:r>
      <w:r>
        <w:rPr>
          <w:rFonts w:hint="eastAsia"/>
          <w:color w:val="FF0000"/>
          <w:sz w:val="28"/>
        </w:rPr>
        <w:t>。</w:t>
      </w:r>
    </w:p>
    <w:p>
      <w:pPr>
        <w:tabs>
          <w:tab w:val="left" w:pos="615"/>
        </w:tabs>
        <w:rPr>
          <w:rFonts w:hint="eastAsia" w:ascii="仿宋" w:hAnsi="仿宋" w:eastAsia="仿宋" w:cs="宋体"/>
          <w:b/>
          <w:bCs/>
          <w:color w:val="000000"/>
          <w:kern w:val="0"/>
          <w:sz w:val="28"/>
          <w:szCs w:val="28"/>
          <w:lang w:val="en-US" w:eastAsia="zh-CN"/>
        </w:rPr>
      </w:pPr>
      <w:r>
        <w:rPr>
          <w:rFonts w:hint="eastAsia"/>
          <w:b/>
          <w:bCs/>
          <w:sz w:val="28"/>
          <w:lang w:eastAsia="zh-CN"/>
        </w:rPr>
        <w:t>二、服务具体要求</w:t>
      </w:r>
    </w:p>
    <w:p>
      <w:pPr>
        <w:spacing w:line="360" w:lineRule="auto"/>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年度养护要求</w:t>
      </w:r>
    </w:p>
    <w:tbl>
      <w:tblPr>
        <w:tblStyle w:val="27"/>
        <w:tblW w:w="9828" w:type="dxa"/>
        <w:jc w:val="center"/>
        <w:tblInd w:w="-25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360"/>
        <w:gridCol w:w="1836"/>
        <w:gridCol w:w="663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29" w:hRule="atLeast"/>
          <w:jc w:val="center"/>
        </w:trPr>
        <w:tc>
          <w:tcPr>
            <w:tcW w:w="1360" w:type="dxa"/>
            <w:vAlign w:val="center"/>
          </w:tcPr>
          <w:p>
            <w:pPr>
              <w:widowControl/>
              <w:jc w:val="center"/>
              <w:rPr>
                <w:rFonts w:ascii="宋体" w:hAnsi="宋体" w:eastAsia="宋体" w:cs="宋体"/>
                <w:b/>
                <w:bCs/>
                <w:sz w:val="18"/>
                <w:szCs w:val="18"/>
              </w:rPr>
            </w:pPr>
            <w:r>
              <w:rPr>
                <w:rFonts w:hint="eastAsia" w:ascii="宋体" w:hAnsi="宋体" w:eastAsia="宋体" w:cs="宋体"/>
                <w:b/>
                <w:bCs/>
                <w:sz w:val="18"/>
                <w:szCs w:val="18"/>
              </w:rPr>
              <w:t>工作项目</w:t>
            </w:r>
          </w:p>
        </w:tc>
        <w:tc>
          <w:tcPr>
            <w:tcW w:w="1836" w:type="dxa"/>
            <w:vAlign w:val="center"/>
          </w:tcPr>
          <w:p>
            <w:pPr>
              <w:widowControl/>
              <w:jc w:val="center"/>
              <w:rPr>
                <w:rFonts w:ascii="宋体" w:hAnsi="宋体" w:eastAsia="宋体" w:cs="宋体"/>
                <w:b/>
                <w:bCs/>
                <w:sz w:val="18"/>
                <w:szCs w:val="18"/>
              </w:rPr>
            </w:pPr>
            <w:r>
              <w:rPr>
                <w:rFonts w:hint="eastAsia" w:ascii="宋体" w:hAnsi="宋体" w:eastAsia="宋体" w:cs="宋体"/>
                <w:b/>
                <w:bCs/>
                <w:sz w:val="18"/>
                <w:szCs w:val="18"/>
              </w:rPr>
              <w:t>时  间</w:t>
            </w:r>
          </w:p>
        </w:tc>
        <w:tc>
          <w:tcPr>
            <w:tcW w:w="6632" w:type="dxa"/>
            <w:vAlign w:val="center"/>
          </w:tcPr>
          <w:p>
            <w:pPr>
              <w:widowControl/>
              <w:jc w:val="center"/>
              <w:rPr>
                <w:rFonts w:ascii="宋体" w:hAnsi="宋体" w:eastAsia="宋体" w:cs="宋体"/>
                <w:b/>
                <w:bCs/>
                <w:sz w:val="18"/>
                <w:szCs w:val="18"/>
              </w:rPr>
            </w:pPr>
            <w:r>
              <w:rPr>
                <w:rFonts w:hint="eastAsia" w:ascii="宋体" w:hAnsi="宋体" w:eastAsia="宋体" w:cs="宋体"/>
                <w:b/>
                <w:bCs/>
                <w:sz w:val="18"/>
                <w:szCs w:val="18"/>
              </w:rPr>
              <w:t>工  作  内  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29" w:hRule="atLeast"/>
          <w:jc w:val="center"/>
        </w:trPr>
        <w:tc>
          <w:tcPr>
            <w:tcW w:w="1360" w:type="dxa"/>
            <w:vMerge w:val="restart"/>
            <w:vAlign w:val="center"/>
          </w:tcPr>
          <w:p>
            <w:pPr>
              <w:widowControl/>
              <w:spacing w:line="360" w:lineRule="exact"/>
              <w:rPr>
                <w:rFonts w:ascii="宋体" w:hAnsi="宋体" w:eastAsia="宋体" w:cs="宋体"/>
                <w:sz w:val="18"/>
                <w:szCs w:val="18"/>
              </w:rPr>
            </w:pPr>
            <w:r>
              <w:rPr>
                <w:rFonts w:hint="eastAsia" w:ascii="宋体" w:hAnsi="宋体" w:eastAsia="宋体" w:cs="宋体"/>
                <w:sz w:val="18"/>
                <w:szCs w:val="18"/>
              </w:rPr>
              <w:t>松土</w:t>
            </w:r>
          </w:p>
        </w:tc>
        <w:tc>
          <w:tcPr>
            <w:tcW w:w="1836" w:type="dxa"/>
            <w:vAlign w:val="center"/>
          </w:tcPr>
          <w:p>
            <w:pPr>
              <w:widowControl/>
              <w:spacing w:line="360" w:lineRule="exact"/>
              <w:rPr>
                <w:rFonts w:ascii="宋体" w:hAnsi="宋体" w:eastAsia="宋体" w:cs="宋体"/>
                <w:sz w:val="18"/>
                <w:szCs w:val="18"/>
              </w:rPr>
            </w:pPr>
            <w:r>
              <w:rPr>
                <w:rFonts w:hint="eastAsia" w:ascii="宋体" w:hAnsi="宋体" w:eastAsia="宋体" w:cs="宋体"/>
                <w:sz w:val="18"/>
                <w:szCs w:val="18"/>
              </w:rPr>
              <w:t>初春1次</w:t>
            </w:r>
          </w:p>
          <w:p>
            <w:pPr>
              <w:widowControl/>
              <w:spacing w:line="360" w:lineRule="exact"/>
              <w:rPr>
                <w:rFonts w:ascii="宋体" w:hAnsi="宋体" w:eastAsia="宋体" w:cs="宋体"/>
                <w:sz w:val="18"/>
                <w:szCs w:val="18"/>
              </w:rPr>
            </w:pPr>
            <w:r>
              <w:rPr>
                <w:rFonts w:hint="eastAsia" w:ascii="宋体" w:hAnsi="宋体" w:eastAsia="宋体" w:cs="宋体"/>
                <w:sz w:val="18"/>
                <w:szCs w:val="18"/>
              </w:rPr>
              <w:t>（3/10—4/10）</w:t>
            </w:r>
          </w:p>
          <w:p>
            <w:pPr>
              <w:widowControl/>
              <w:spacing w:line="360" w:lineRule="exact"/>
              <w:rPr>
                <w:rFonts w:ascii="宋体" w:hAnsi="宋体" w:eastAsia="宋体" w:cs="宋体"/>
                <w:sz w:val="18"/>
                <w:szCs w:val="18"/>
              </w:rPr>
            </w:pPr>
            <w:r>
              <w:rPr>
                <w:rFonts w:hint="eastAsia" w:ascii="宋体" w:hAnsi="宋体" w:eastAsia="宋体" w:cs="宋体"/>
                <w:sz w:val="18"/>
                <w:szCs w:val="18"/>
              </w:rPr>
              <w:t>秋末1次</w:t>
            </w:r>
          </w:p>
          <w:p>
            <w:pPr>
              <w:widowControl/>
              <w:spacing w:line="360" w:lineRule="exact"/>
              <w:rPr>
                <w:rFonts w:ascii="宋体" w:hAnsi="宋体" w:eastAsia="宋体" w:cs="宋体"/>
                <w:sz w:val="18"/>
                <w:szCs w:val="18"/>
              </w:rPr>
            </w:pPr>
            <w:r>
              <w:rPr>
                <w:rFonts w:hint="eastAsia" w:ascii="宋体" w:hAnsi="宋体" w:eastAsia="宋体" w:cs="宋体"/>
                <w:sz w:val="18"/>
                <w:szCs w:val="18"/>
              </w:rPr>
              <w:t>（10/20—11/20）</w:t>
            </w:r>
          </w:p>
        </w:tc>
        <w:tc>
          <w:tcPr>
            <w:tcW w:w="6632" w:type="dxa"/>
            <w:vAlign w:val="center"/>
          </w:tcPr>
          <w:p>
            <w:pPr>
              <w:widowControl/>
              <w:spacing w:line="360" w:lineRule="exact"/>
              <w:rPr>
                <w:rFonts w:ascii="宋体" w:hAnsi="宋体" w:eastAsia="宋体" w:cs="宋体"/>
                <w:sz w:val="18"/>
                <w:szCs w:val="18"/>
              </w:rPr>
            </w:pPr>
            <w:r>
              <w:rPr>
                <w:rFonts w:hint="eastAsia" w:ascii="宋体" w:hAnsi="宋体" w:eastAsia="宋体" w:cs="宋体"/>
                <w:sz w:val="18"/>
                <w:szCs w:val="18"/>
              </w:rPr>
              <w:t>松土深度3—10cm，根颈向外由浅至深，以不损伤1.5-2 cm以上粗根为度，可结合施肥、草坪切边同时进行。</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29" w:hRule="atLeast"/>
          <w:jc w:val="center"/>
        </w:trPr>
        <w:tc>
          <w:tcPr>
            <w:tcW w:w="1360" w:type="dxa"/>
            <w:vMerge w:val="continue"/>
            <w:vAlign w:val="center"/>
          </w:tcPr>
          <w:p>
            <w:pPr>
              <w:widowControl/>
              <w:spacing w:line="360" w:lineRule="exact"/>
              <w:rPr>
                <w:rFonts w:ascii="宋体" w:hAnsi="宋体" w:eastAsia="宋体" w:cs="宋体"/>
                <w:sz w:val="18"/>
                <w:szCs w:val="18"/>
              </w:rPr>
            </w:pPr>
          </w:p>
        </w:tc>
        <w:tc>
          <w:tcPr>
            <w:tcW w:w="1836" w:type="dxa"/>
            <w:vAlign w:val="center"/>
          </w:tcPr>
          <w:p>
            <w:pPr>
              <w:widowControl/>
              <w:spacing w:line="360" w:lineRule="exact"/>
              <w:rPr>
                <w:rFonts w:ascii="宋体" w:hAnsi="宋体" w:eastAsia="宋体" w:cs="宋体"/>
                <w:sz w:val="18"/>
                <w:szCs w:val="18"/>
              </w:rPr>
            </w:pPr>
            <w:r>
              <w:rPr>
                <w:rFonts w:hint="eastAsia" w:ascii="宋体" w:hAnsi="宋体" w:eastAsia="宋体" w:cs="宋体"/>
                <w:sz w:val="18"/>
                <w:szCs w:val="18"/>
              </w:rPr>
              <w:t>生长季1-3次</w:t>
            </w:r>
          </w:p>
          <w:p>
            <w:pPr>
              <w:widowControl/>
              <w:spacing w:line="360" w:lineRule="exact"/>
              <w:rPr>
                <w:rFonts w:ascii="宋体" w:hAnsi="宋体" w:eastAsia="宋体" w:cs="宋体"/>
                <w:sz w:val="18"/>
                <w:szCs w:val="18"/>
              </w:rPr>
            </w:pPr>
            <w:r>
              <w:rPr>
                <w:rFonts w:hint="eastAsia" w:ascii="宋体" w:hAnsi="宋体" w:eastAsia="宋体" w:cs="宋体"/>
                <w:sz w:val="18"/>
                <w:szCs w:val="18"/>
              </w:rPr>
              <w:t>（4/20—9/20）</w:t>
            </w:r>
          </w:p>
        </w:tc>
        <w:tc>
          <w:tcPr>
            <w:tcW w:w="6632" w:type="dxa"/>
            <w:vAlign w:val="center"/>
          </w:tcPr>
          <w:p>
            <w:pPr>
              <w:widowControl/>
              <w:spacing w:line="360" w:lineRule="exact"/>
              <w:rPr>
                <w:rFonts w:ascii="宋体" w:hAnsi="宋体" w:eastAsia="宋体" w:cs="宋体"/>
                <w:sz w:val="18"/>
                <w:szCs w:val="18"/>
              </w:rPr>
            </w:pPr>
            <w:r>
              <w:rPr>
                <w:rFonts w:hint="eastAsia" w:ascii="宋体" w:hAnsi="宋体" w:eastAsia="宋体" w:cs="宋体"/>
                <w:sz w:val="18"/>
                <w:szCs w:val="18"/>
              </w:rPr>
              <w:t>多次浇灌或降水导致土壤板结影响树木生长，这时应及时松土。</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29" w:hRule="atLeast"/>
          <w:jc w:val="center"/>
        </w:trPr>
        <w:tc>
          <w:tcPr>
            <w:tcW w:w="1360" w:type="dxa"/>
            <w:vAlign w:val="center"/>
          </w:tcPr>
          <w:p>
            <w:pPr>
              <w:widowControl/>
              <w:spacing w:line="360" w:lineRule="exact"/>
              <w:rPr>
                <w:rFonts w:ascii="宋体" w:hAnsi="宋体" w:eastAsia="宋体" w:cs="宋体"/>
                <w:sz w:val="18"/>
                <w:szCs w:val="18"/>
              </w:rPr>
            </w:pPr>
            <w:r>
              <w:rPr>
                <w:rFonts w:hint="eastAsia" w:ascii="宋体" w:hAnsi="宋体" w:eastAsia="宋体" w:cs="宋体"/>
                <w:sz w:val="18"/>
                <w:szCs w:val="18"/>
              </w:rPr>
              <w:t>杂草控制</w:t>
            </w:r>
          </w:p>
        </w:tc>
        <w:tc>
          <w:tcPr>
            <w:tcW w:w="1836" w:type="dxa"/>
            <w:vAlign w:val="center"/>
          </w:tcPr>
          <w:p>
            <w:pPr>
              <w:widowControl/>
              <w:spacing w:line="360" w:lineRule="exact"/>
              <w:rPr>
                <w:rFonts w:ascii="宋体" w:hAnsi="宋体" w:eastAsia="宋体" w:cs="宋体"/>
                <w:sz w:val="18"/>
                <w:szCs w:val="18"/>
              </w:rPr>
            </w:pPr>
            <w:r>
              <w:rPr>
                <w:rFonts w:hint="eastAsia" w:ascii="宋体" w:hAnsi="宋体" w:eastAsia="宋体" w:cs="宋体"/>
                <w:sz w:val="18"/>
                <w:szCs w:val="18"/>
              </w:rPr>
              <w:t>全年</w:t>
            </w:r>
          </w:p>
        </w:tc>
        <w:tc>
          <w:tcPr>
            <w:tcW w:w="6632" w:type="dxa"/>
            <w:vAlign w:val="center"/>
          </w:tcPr>
          <w:p>
            <w:pPr>
              <w:widowControl/>
              <w:spacing w:line="360" w:lineRule="exact"/>
              <w:rPr>
                <w:rFonts w:ascii="宋体" w:hAnsi="宋体" w:eastAsia="宋体" w:cs="宋体"/>
                <w:sz w:val="18"/>
                <w:szCs w:val="18"/>
              </w:rPr>
            </w:pPr>
            <w:r>
              <w:rPr>
                <w:rFonts w:hint="eastAsia" w:ascii="宋体" w:hAnsi="宋体" w:eastAsia="宋体" w:cs="宋体"/>
                <w:sz w:val="18"/>
                <w:szCs w:val="18"/>
              </w:rPr>
              <w:t>1、 在城市环境中除草采用人工或机械除草方法。</w:t>
            </w:r>
          </w:p>
          <w:p>
            <w:pPr>
              <w:widowControl/>
              <w:spacing w:line="360" w:lineRule="exact"/>
              <w:rPr>
                <w:rFonts w:ascii="宋体" w:hAnsi="宋体" w:eastAsia="宋体" w:cs="宋体"/>
                <w:sz w:val="18"/>
                <w:szCs w:val="18"/>
              </w:rPr>
            </w:pPr>
            <w:r>
              <w:rPr>
                <w:rFonts w:hint="eastAsia" w:ascii="宋体" w:hAnsi="宋体" w:eastAsia="宋体" w:cs="宋体"/>
                <w:sz w:val="18"/>
                <w:szCs w:val="18"/>
              </w:rPr>
              <w:t>2、 最晚的清除时间应在杂草开花之前， 以防止杂草结籽。</w:t>
            </w:r>
          </w:p>
          <w:p>
            <w:pPr>
              <w:widowControl/>
              <w:spacing w:line="360" w:lineRule="exact"/>
              <w:ind w:left="360" w:hanging="360" w:hangingChars="200"/>
              <w:rPr>
                <w:rFonts w:ascii="宋体" w:hAnsi="宋体" w:eastAsia="宋体" w:cs="宋体"/>
                <w:sz w:val="18"/>
                <w:szCs w:val="18"/>
              </w:rPr>
            </w:pPr>
            <w:r>
              <w:rPr>
                <w:rFonts w:hint="eastAsia" w:ascii="宋体" w:hAnsi="宋体" w:eastAsia="宋体" w:cs="宋体"/>
                <w:sz w:val="18"/>
                <w:szCs w:val="18"/>
              </w:rPr>
              <w:t xml:space="preserve">3、 在一些地表裸露的林下杂草，应适当保留，但须加以控制。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29" w:hRule="atLeast"/>
          <w:jc w:val="center"/>
        </w:trPr>
        <w:tc>
          <w:tcPr>
            <w:tcW w:w="1360" w:type="dxa"/>
            <w:vMerge w:val="restart"/>
            <w:vAlign w:val="center"/>
          </w:tcPr>
          <w:p>
            <w:pPr>
              <w:widowControl/>
              <w:spacing w:line="360" w:lineRule="exact"/>
              <w:rPr>
                <w:rFonts w:ascii="宋体" w:hAnsi="宋体" w:eastAsia="宋体" w:cs="宋体"/>
                <w:sz w:val="18"/>
                <w:szCs w:val="18"/>
              </w:rPr>
            </w:pPr>
            <w:r>
              <w:rPr>
                <w:rFonts w:hint="eastAsia" w:ascii="宋体" w:hAnsi="宋体" w:eastAsia="宋体" w:cs="宋体"/>
                <w:sz w:val="18"/>
                <w:szCs w:val="18"/>
              </w:rPr>
              <w:t>施肥</w:t>
            </w:r>
          </w:p>
        </w:tc>
        <w:tc>
          <w:tcPr>
            <w:tcW w:w="1836" w:type="dxa"/>
            <w:vAlign w:val="center"/>
          </w:tcPr>
          <w:p>
            <w:pPr>
              <w:widowControl/>
              <w:spacing w:line="360" w:lineRule="exact"/>
              <w:rPr>
                <w:rFonts w:ascii="宋体" w:hAnsi="宋体" w:eastAsia="宋体" w:cs="宋体"/>
                <w:sz w:val="18"/>
                <w:szCs w:val="18"/>
              </w:rPr>
            </w:pPr>
          </w:p>
        </w:tc>
        <w:tc>
          <w:tcPr>
            <w:tcW w:w="6632" w:type="dxa"/>
            <w:vAlign w:val="center"/>
          </w:tcPr>
          <w:p>
            <w:pPr>
              <w:widowControl/>
              <w:spacing w:line="360" w:lineRule="exact"/>
              <w:ind w:left="360" w:hanging="360" w:hangingChars="200"/>
              <w:rPr>
                <w:rFonts w:ascii="宋体" w:hAnsi="宋体" w:eastAsia="宋体" w:cs="宋体"/>
                <w:sz w:val="18"/>
                <w:szCs w:val="18"/>
              </w:rPr>
            </w:pPr>
            <w:r>
              <w:rPr>
                <w:rFonts w:hint="eastAsia" w:ascii="宋体" w:hAnsi="宋体" w:eastAsia="宋体" w:cs="宋体"/>
                <w:sz w:val="18"/>
                <w:szCs w:val="18"/>
              </w:rPr>
              <w:t>1、 施肥量：因树种而异，因树体大小而异。大树多施，小树少施。对于开花结果多的树木应多施（一般根据实践经验确定施肥量）。</w:t>
            </w:r>
          </w:p>
          <w:p>
            <w:pPr>
              <w:widowControl/>
              <w:spacing w:line="360" w:lineRule="exact"/>
              <w:rPr>
                <w:rFonts w:ascii="宋体" w:hAnsi="宋体" w:eastAsia="宋体" w:cs="宋体"/>
                <w:sz w:val="18"/>
                <w:szCs w:val="18"/>
              </w:rPr>
            </w:pPr>
            <w:r>
              <w:rPr>
                <w:rFonts w:hint="eastAsia" w:ascii="宋体" w:hAnsi="宋体" w:eastAsia="宋体" w:cs="宋体"/>
                <w:sz w:val="18"/>
                <w:szCs w:val="18"/>
              </w:rPr>
              <w:t>2、 施肥方式：土壤施肥和根外施肥</w:t>
            </w:r>
          </w:p>
          <w:p>
            <w:pPr>
              <w:widowControl/>
              <w:spacing w:line="360" w:lineRule="exact"/>
              <w:ind w:left="360" w:hanging="360" w:hangingChars="200"/>
              <w:rPr>
                <w:rFonts w:ascii="宋体" w:hAnsi="宋体" w:eastAsia="宋体" w:cs="宋体"/>
                <w:sz w:val="18"/>
                <w:szCs w:val="18"/>
              </w:rPr>
            </w:pPr>
            <w:r>
              <w:rPr>
                <w:rFonts w:hint="eastAsia" w:ascii="宋体" w:hAnsi="宋体" w:eastAsia="宋体" w:cs="宋体"/>
                <w:sz w:val="18"/>
                <w:szCs w:val="18"/>
              </w:rPr>
              <w:t>3、 施肥位置：吸收根分布范围（树冠半径1/3—1/2向外到根梢范围内，深度一般集中在30--60 cm 的土层范围内）。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29" w:hRule="atLeast"/>
          <w:jc w:val="center"/>
        </w:trPr>
        <w:tc>
          <w:tcPr>
            <w:tcW w:w="1360" w:type="dxa"/>
            <w:vMerge w:val="continue"/>
            <w:vAlign w:val="center"/>
          </w:tcPr>
          <w:p>
            <w:pPr>
              <w:widowControl/>
              <w:spacing w:line="360" w:lineRule="exact"/>
              <w:rPr>
                <w:rFonts w:ascii="宋体" w:hAnsi="宋体" w:eastAsia="宋体" w:cs="宋体"/>
                <w:sz w:val="18"/>
                <w:szCs w:val="18"/>
              </w:rPr>
            </w:pPr>
          </w:p>
        </w:tc>
        <w:tc>
          <w:tcPr>
            <w:tcW w:w="1836" w:type="dxa"/>
            <w:vAlign w:val="center"/>
          </w:tcPr>
          <w:p>
            <w:pPr>
              <w:widowControl/>
              <w:spacing w:line="360" w:lineRule="exact"/>
              <w:rPr>
                <w:rFonts w:ascii="宋体" w:hAnsi="宋体" w:eastAsia="宋体" w:cs="宋体"/>
                <w:sz w:val="18"/>
                <w:szCs w:val="18"/>
              </w:rPr>
            </w:pPr>
            <w:r>
              <w:rPr>
                <w:rFonts w:hint="eastAsia" w:ascii="宋体" w:hAnsi="宋体" w:eastAsia="宋体" w:cs="宋体"/>
                <w:sz w:val="18"/>
                <w:szCs w:val="18"/>
              </w:rPr>
              <w:t>春季</w:t>
            </w:r>
          </w:p>
          <w:p>
            <w:pPr>
              <w:widowControl/>
              <w:spacing w:line="360" w:lineRule="exact"/>
              <w:rPr>
                <w:rFonts w:ascii="宋体" w:hAnsi="宋体" w:eastAsia="宋体" w:cs="宋体"/>
                <w:sz w:val="18"/>
                <w:szCs w:val="18"/>
              </w:rPr>
            </w:pPr>
            <w:r>
              <w:rPr>
                <w:rFonts w:hint="eastAsia" w:ascii="宋体" w:hAnsi="宋体" w:eastAsia="宋体" w:cs="宋体"/>
                <w:sz w:val="18"/>
                <w:szCs w:val="18"/>
              </w:rPr>
              <w:t>（3/10-4/10）</w:t>
            </w:r>
          </w:p>
        </w:tc>
        <w:tc>
          <w:tcPr>
            <w:tcW w:w="6632" w:type="dxa"/>
            <w:vAlign w:val="center"/>
          </w:tcPr>
          <w:p>
            <w:pPr>
              <w:widowControl/>
              <w:spacing w:line="360" w:lineRule="exact"/>
              <w:rPr>
                <w:rFonts w:ascii="宋体" w:hAnsi="宋体" w:eastAsia="宋体" w:cs="宋体"/>
                <w:sz w:val="18"/>
                <w:szCs w:val="18"/>
              </w:rPr>
            </w:pPr>
            <w:r>
              <w:rPr>
                <w:rFonts w:hint="eastAsia" w:ascii="宋体" w:hAnsi="宋体" w:eastAsia="宋体" w:cs="宋体"/>
                <w:sz w:val="18"/>
                <w:szCs w:val="18"/>
              </w:rPr>
              <w:t>以氮肥为主。树木地上部分萌动时，结合雨季、灌水时进行施肥。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29" w:hRule="atLeast"/>
          <w:jc w:val="center"/>
        </w:trPr>
        <w:tc>
          <w:tcPr>
            <w:tcW w:w="1360" w:type="dxa"/>
            <w:vMerge w:val="continue"/>
            <w:vAlign w:val="center"/>
          </w:tcPr>
          <w:p>
            <w:pPr>
              <w:widowControl/>
              <w:spacing w:line="360" w:lineRule="exact"/>
              <w:rPr>
                <w:rFonts w:ascii="宋体" w:hAnsi="宋体" w:eastAsia="宋体" w:cs="宋体"/>
                <w:sz w:val="18"/>
                <w:szCs w:val="18"/>
              </w:rPr>
            </w:pPr>
          </w:p>
        </w:tc>
        <w:tc>
          <w:tcPr>
            <w:tcW w:w="1836" w:type="dxa"/>
            <w:vAlign w:val="center"/>
          </w:tcPr>
          <w:p>
            <w:pPr>
              <w:widowControl/>
              <w:spacing w:line="360" w:lineRule="exact"/>
              <w:rPr>
                <w:rFonts w:ascii="宋体" w:hAnsi="宋体" w:eastAsia="宋体" w:cs="宋体"/>
                <w:sz w:val="18"/>
                <w:szCs w:val="18"/>
              </w:rPr>
            </w:pPr>
            <w:r>
              <w:rPr>
                <w:rFonts w:hint="eastAsia" w:ascii="宋体" w:hAnsi="宋体" w:eastAsia="宋体" w:cs="宋体"/>
                <w:sz w:val="18"/>
                <w:szCs w:val="18"/>
              </w:rPr>
              <w:t>秋季</w:t>
            </w:r>
          </w:p>
          <w:p>
            <w:pPr>
              <w:widowControl/>
              <w:spacing w:line="360" w:lineRule="exact"/>
              <w:rPr>
                <w:rFonts w:ascii="宋体" w:hAnsi="宋体" w:eastAsia="宋体" w:cs="宋体"/>
                <w:sz w:val="18"/>
                <w:szCs w:val="18"/>
              </w:rPr>
            </w:pPr>
            <w:r>
              <w:rPr>
                <w:rFonts w:hint="eastAsia" w:ascii="宋体" w:hAnsi="宋体" w:eastAsia="宋体" w:cs="宋体"/>
                <w:sz w:val="18"/>
                <w:szCs w:val="18"/>
              </w:rPr>
              <w:t>（10/20-11/20）</w:t>
            </w:r>
          </w:p>
        </w:tc>
        <w:tc>
          <w:tcPr>
            <w:tcW w:w="6632" w:type="dxa"/>
            <w:vAlign w:val="center"/>
          </w:tcPr>
          <w:p>
            <w:pPr>
              <w:widowControl/>
              <w:spacing w:line="360" w:lineRule="exact"/>
              <w:rPr>
                <w:rFonts w:ascii="宋体" w:hAnsi="宋体" w:eastAsia="宋体" w:cs="宋体"/>
                <w:sz w:val="18"/>
                <w:szCs w:val="18"/>
              </w:rPr>
            </w:pPr>
            <w:r>
              <w:rPr>
                <w:rFonts w:hint="eastAsia" w:ascii="宋体" w:hAnsi="宋体" w:eastAsia="宋体" w:cs="宋体"/>
                <w:sz w:val="18"/>
                <w:szCs w:val="18"/>
              </w:rPr>
              <w:t>秋季施肥应适当早施，适量增施磷、钾肥，避免树木枝梢徒长造成过冬困难。</w:t>
            </w:r>
          </w:p>
          <w:p>
            <w:pPr>
              <w:widowControl/>
              <w:spacing w:line="360" w:lineRule="exact"/>
              <w:rPr>
                <w:rFonts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29" w:hRule="atLeast"/>
          <w:jc w:val="center"/>
        </w:trPr>
        <w:tc>
          <w:tcPr>
            <w:tcW w:w="1360" w:type="dxa"/>
            <w:vMerge w:val="continue"/>
            <w:vAlign w:val="center"/>
          </w:tcPr>
          <w:p>
            <w:pPr>
              <w:widowControl/>
              <w:spacing w:line="360" w:lineRule="exact"/>
              <w:rPr>
                <w:rFonts w:ascii="宋体" w:hAnsi="宋体" w:eastAsia="宋体" w:cs="宋体"/>
                <w:sz w:val="18"/>
                <w:szCs w:val="18"/>
              </w:rPr>
            </w:pPr>
          </w:p>
        </w:tc>
        <w:tc>
          <w:tcPr>
            <w:tcW w:w="1836" w:type="dxa"/>
            <w:vAlign w:val="center"/>
          </w:tcPr>
          <w:p>
            <w:pPr>
              <w:widowControl/>
              <w:spacing w:line="360" w:lineRule="exact"/>
              <w:rPr>
                <w:rFonts w:ascii="宋体" w:hAnsi="宋体" w:eastAsia="宋体" w:cs="宋体"/>
                <w:sz w:val="18"/>
                <w:szCs w:val="18"/>
              </w:rPr>
            </w:pPr>
            <w:r>
              <w:rPr>
                <w:rFonts w:hint="eastAsia" w:ascii="宋体" w:hAnsi="宋体" w:eastAsia="宋体" w:cs="宋体"/>
                <w:sz w:val="18"/>
                <w:szCs w:val="18"/>
              </w:rPr>
              <w:t>生长季</w:t>
            </w:r>
          </w:p>
          <w:p>
            <w:pPr>
              <w:widowControl/>
              <w:spacing w:line="360" w:lineRule="exact"/>
              <w:rPr>
                <w:rFonts w:ascii="宋体" w:hAnsi="宋体" w:eastAsia="宋体" w:cs="宋体"/>
                <w:sz w:val="18"/>
                <w:szCs w:val="18"/>
              </w:rPr>
            </w:pPr>
            <w:r>
              <w:rPr>
                <w:rFonts w:hint="eastAsia" w:ascii="宋体" w:hAnsi="宋体" w:eastAsia="宋体" w:cs="宋体"/>
                <w:sz w:val="18"/>
                <w:szCs w:val="18"/>
              </w:rPr>
              <w:t>（4/20-11/20）</w:t>
            </w:r>
          </w:p>
        </w:tc>
        <w:tc>
          <w:tcPr>
            <w:tcW w:w="6632" w:type="dxa"/>
          </w:tcPr>
          <w:p>
            <w:pPr>
              <w:widowControl/>
              <w:spacing w:line="360" w:lineRule="exact"/>
              <w:ind w:left="360" w:hanging="360" w:hangingChars="200"/>
              <w:rPr>
                <w:rFonts w:ascii="宋体" w:hAnsi="宋体" w:eastAsia="宋体" w:cs="宋体"/>
                <w:sz w:val="18"/>
                <w:szCs w:val="18"/>
              </w:rPr>
            </w:pPr>
            <w:r>
              <w:rPr>
                <w:rFonts w:hint="eastAsia" w:ascii="宋体" w:hAnsi="宋体" w:eastAsia="宋体" w:cs="宋体"/>
                <w:sz w:val="18"/>
                <w:szCs w:val="18"/>
              </w:rPr>
              <w:t>1、 根据不同的树种、气候、土壤等条件，根据树木不同的生长阶段适时追肥。一年可进行多次追肥</w:t>
            </w:r>
          </w:p>
          <w:p>
            <w:pPr>
              <w:widowControl/>
              <w:spacing w:line="360" w:lineRule="exact"/>
              <w:ind w:left="360" w:hanging="360" w:hangingChars="200"/>
              <w:rPr>
                <w:rFonts w:ascii="宋体" w:hAnsi="宋体" w:eastAsia="宋体" w:cs="宋体"/>
                <w:sz w:val="18"/>
                <w:szCs w:val="18"/>
              </w:rPr>
            </w:pPr>
            <w:r>
              <w:rPr>
                <w:rFonts w:hint="eastAsia" w:ascii="宋体" w:hAnsi="宋体" w:eastAsia="宋体" w:cs="宋体"/>
                <w:sz w:val="18"/>
                <w:szCs w:val="18"/>
              </w:rPr>
              <w:t>2、 施肥浓度：叶面1%--5%，注射1%--3%。</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29" w:hRule="atLeast"/>
          <w:jc w:val="center"/>
        </w:trPr>
        <w:tc>
          <w:tcPr>
            <w:tcW w:w="1360" w:type="dxa"/>
            <w:vAlign w:val="center"/>
          </w:tcPr>
          <w:p>
            <w:pPr>
              <w:widowControl/>
              <w:spacing w:line="360" w:lineRule="exact"/>
              <w:rPr>
                <w:rFonts w:ascii="宋体" w:hAnsi="宋体" w:eastAsia="宋体" w:cs="宋体"/>
                <w:sz w:val="18"/>
                <w:szCs w:val="18"/>
              </w:rPr>
            </w:pPr>
            <w:r>
              <w:rPr>
                <w:rFonts w:hint="eastAsia" w:ascii="宋体" w:hAnsi="宋体" w:eastAsia="宋体" w:cs="宋体"/>
                <w:sz w:val="18"/>
                <w:szCs w:val="18"/>
              </w:rPr>
              <w:t>灌溉与</w:t>
            </w:r>
          </w:p>
          <w:p>
            <w:pPr>
              <w:widowControl/>
              <w:spacing w:line="360" w:lineRule="exact"/>
              <w:rPr>
                <w:rFonts w:ascii="宋体" w:hAnsi="宋体" w:eastAsia="宋体" w:cs="宋体"/>
                <w:sz w:val="18"/>
                <w:szCs w:val="18"/>
              </w:rPr>
            </w:pPr>
            <w:r>
              <w:rPr>
                <w:rFonts w:hint="eastAsia" w:ascii="宋体" w:hAnsi="宋体" w:eastAsia="宋体" w:cs="宋体"/>
                <w:sz w:val="18"/>
                <w:szCs w:val="18"/>
              </w:rPr>
              <w:t>排水</w:t>
            </w:r>
            <w:r>
              <w:rPr>
                <w:rFonts w:hint="eastAsia" w:ascii="宋体" w:hAnsi="宋体" w:eastAsia="宋体" w:cs="宋体"/>
                <w:sz w:val="18"/>
                <w:szCs w:val="18"/>
                <w:lang w:val="en-US" w:eastAsia="zh-CN"/>
              </w:rPr>
              <w:t xml:space="preserve">     </w:t>
            </w:r>
          </w:p>
        </w:tc>
        <w:tc>
          <w:tcPr>
            <w:tcW w:w="1836" w:type="dxa"/>
            <w:vAlign w:val="center"/>
          </w:tcPr>
          <w:p>
            <w:pPr>
              <w:widowControl/>
              <w:spacing w:line="360" w:lineRule="exact"/>
              <w:rPr>
                <w:rFonts w:ascii="宋体" w:hAnsi="宋体" w:eastAsia="宋体" w:cs="宋体"/>
                <w:sz w:val="18"/>
                <w:szCs w:val="18"/>
              </w:rPr>
            </w:pPr>
            <w:r>
              <w:rPr>
                <w:rFonts w:hint="eastAsia" w:ascii="宋体" w:hAnsi="宋体" w:eastAsia="宋体" w:cs="宋体"/>
                <w:sz w:val="18"/>
                <w:szCs w:val="18"/>
              </w:rPr>
              <w:t>生长季</w:t>
            </w:r>
          </w:p>
        </w:tc>
        <w:tc>
          <w:tcPr>
            <w:tcW w:w="6632" w:type="dxa"/>
          </w:tcPr>
          <w:p>
            <w:pPr>
              <w:widowControl/>
              <w:spacing w:line="360" w:lineRule="exact"/>
              <w:rPr>
                <w:rFonts w:ascii="宋体" w:hAnsi="宋体" w:eastAsia="宋体" w:cs="宋体"/>
                <w:sz w:val="18"/>
                <w:szCs w:val="18"/>
              </w:rPr>
            </w:pPr>
            <w:r>
              <w:rPr>
                <w:rFonts w:hint="eastAsia" w:ascii="宋体" w:hAnsi="宋体" w:eastAsia="宋体" w:cs="宋体"/>
                <w:sz w:val="18"/>
                <w:szCs w:val="18"/>
              </w:rPr>
              <w:t>1、 旱情时灌水，注意三个时期：开花前、开花后和花芽分化期。如土壤板结，则灌水前应先松土，以利水份下渗和扩散。</w:t>
            </w:r>
          </w:p>
          <w:p>
            <w:pPr>
              <w:widowControl/>
              <w:spacing w:line="360" w:lineRule="exact"/>
              <w:rPr>
                <w:rFonts w:ascii="宋体" w:hAnsi="宋体" w:eastAsia="宋体" w:cs="宋体"/>
                <w:sz w:val="18"/>
                <w:szCs w:val="18"/>
              </w:rPr>
            </w:pPr>
            <w:r>
              <w:rPr>
                <w:rFonts w:hint="eastAsia" w:ascii="宋体" w:hAnsi="宋体" w:eastAsia="宋体" w:cs="宋体"/>
                <w:sz w:val="18"/>
                <w:szCs w:val="18"/>
              </w:rPr>
              <w:t>2、 低洼积水处雨后及时排水。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29" w:hRule="atLeast"/>
          <w:jc w:val="center"/>
        </w:trPr>
        <w:tc>
          <w:tcPr>
            <w:tcW w:w="1360" w:type="dxa"/>
            <w:vAlign w:val="center"/>
          </w:tcPr>
          <w:p>
            <w:pPr>
              <w:widowControl/>
              <w:spacing w:line="360" w:lineRule="exact"/>
              <w:rPr>
                <w:rFonts w:ascii="宋体" w:hAnsi="宋体" w:eastAsia="宋体" w:cs="宋体"/>
                <w:sz w:val="18"/>
                <w:szCs w:val="18"/>
              </w:rPr>
            </w:pPr>
            <w:r>
              <w:rPr>
                <w:rFonts w:hint="eastAsia" w:ascii="宋体" w:hAnsi="宋体" w:eastAsia="宋体" w:cs="宋体"/>
                <w:sz w:val="18"/>
                <w:szCs w:val="18"/>
              </w:rPr>
              <w:t>病虫防治</w:t>
            </w:r>
          </w:p>
        </w:tc>
        <w:tc>
          <w:tcPr>
            <w:tcW w:w="1836" w:type="dxa"/>
            <w:vAlign w:val="center"/>
          </w:tcPr>
          <w:p>
            <w:pPr>
              <w:widowControl/>
              <w:spacing w:line="360" w:lineRule="exact"/>
              <w:rPr>
                <w:rFonts w:ascii="宋体" w:hAnsi="宋体" w:eastAsia="宋体" w:cs="宋体"/>
                <w:sz w:val="18"/>
                <w:szCs w:val="18"/>
              </w:rPr>
            </w:pPr>
            <w:r>
              <w:rPr>
                <w:rFonts w:hint="eastAsia" w:ascii="宋体" w:hAnsi="宋体" w:eastAsia="宋体" w:cs="宋体"/>
                <w:sz w:val="18"/>
                <w:szCs w:val="18"/>
              </w:rPr>
              <w:t>2—10月</w:t>
            </w:r>
          </w:p>
        </w:tc>
        <w:tc>
          <w:tcPr>
            <w:tcW w:w="6632" w:type="dxa"/>
            <w:vAlign w:val="center"/>
          </w:tcPr>
          <w:p>
            <w:pPr>
              <w:widowControl/>
              <w:spacing w:line="360" w:lineRule="exact"/>
              <w:rPr>
                <w:rFonts w:ascii="宋体" w:hAnsi="宋体" w:eastAsia="宋体" w:cs="宋体"/>
                <w:sz w:val="18"/>
                <w:szCs w:val="18"/>
              </w:rPr>
            </w:pPr>
            <w:r>
              <w:rPr>
                <w:rFonts w:hint="eastAsia" w:ascii="宋体" w:hAnsi="宋体" w:eastAsia="宋体" w:cs="宋体"/>
                <w:sz w:val="18"/>
                <w:szCs w:val="18"/>
              </w:rPr>
              <w:t>根据《病虫防治方案》执行</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29" w:hRule="atLeast"/>
          <w:jc w:val="center"/>
        </w:trPr>
        <w:tc>
          <w:tcPr>
            <w:tcW w:w="1360" w:type="dxa"/>
            <w:vAlign w:val="center"/>
          </w:tcPr>
          <w:p>
            <w:pPr>
              <w:widowControl/>
              <w:spacing w:line="360" w:lineRule="exact"/>
              <w:rPr>
                <w:rFonts w:ascii="宋体" w:hAnsi="宋体" w:eastAsia="宋体" w:cs="宋体"/>
                <w:sz w:val="18"/>
                <w:szCs w:val="18"/>
              </w:rPr>
            </w:pPr>
            <w:r>
              <w:rPr>
                <w:rFonts w:hint="eastAsia" w:ascii="宋体" w:hAnsi="宋体" w:eastAsia="宋体" w:cs="宋体"/>
                <w:sz w:val="18"/>
                <w:szCs w:val="18"/>
              </w:rPr>
              <w:t>修剪</w:t>
            </w:r>
          </w:p>
        </w:tc>
        <w:tc>
          <w:tcPr>
            <w:tcW w:w="1836" w:type="dxa"/>
            <w:vAlign w:val="center"/>
          </w:tcPr>
          <w:p>
            <w:pPr>
              <w:widowControl/>
              <w:spacing w:line="360" w:lineRule="exact"/>
              <w:rPr>
                <w:rFonts w:ascii="宋体" w:hAnsi="宋体" w:eastAsia="宋体" w:cs="宋体"/>
                <w:sz w:val="18"/>
                <w:szCs w:val="18"/>
              </w:rPr>
            </w:pPr>
            <w:r>
              <w:rPr>
                <w:rFonts w:hint="eastAsia" w:ascii="宋体" w:hAnsi="宋体" w:eastAsia="宋体" w:cs="宋体"/>
                <w:sz w:val="18"/>
                <w:szCs w:val="18"/>
              </w:rPr>
              <w:t>全年</w:t>
            </w:r>
          </w:p>
        </w:tc>
        <w:tc>
          <w:tcPr>
            <w:tcW w:w="6632" w:type="dxa"/>
          </w:tcPr>
          <w:p>
            <w:pPr>
              <w:widowControl/>
              <w:spacing w:line="360" w:lineRule="exact"/>
              <w:rPr>
                <w:rFonts w:ascii="宋体" w:hAnsi="宋体" w:eastAsia="宋体" w:cs="宋体"/>
                <w:sz w:val="18"/>
                <w:szCs w:val="18"/>
              </w:rPr>
            </w:pPr>
            <w:r>
              <w:rPr>
                <w:rFonts w:hint="eastAsia" w:ascii="宋体" w:hAnsi="宋体" w:eastAsia="宋体" w:cs="宋体"/>
                <w:sz w:val="18"/>
                <w:szCs w:val="18"/>
              </w:rPr>
              <w:t>每年修剪树木开始前，都须制定修剪技术方案，并对工人进行培训，认真贯彻后方可进行操作。做到因地制宜，因树修剪。具体根据《树木修剪技术规程》执行。</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29" w:hRule="atLeast"/>
          <w:jc w:val="center"/>
        </w:trPr>
        <w:tc>
          <w:tcPr>
            <w:tcW w:w="1360" w:type="dxa"/>
            <w:vMerge w:val="restart"/>
            <w:vAlign w:val="center"/>
          </w:tcPr>
          <w:p>
            <w:pPr>
              <w:widowControl/>
              <w:spacing w:line="380" w:lineRule="exact"/>
              <w:rPr>
                <w:rFonts w:ascii="宋体" w:hAnsi="宋体" w:eastAsia="宋体" w:cs="宋体"/>
                <w:sz w:val="18"/>
                <w:szCs w:val="18"/>
              </w:rPr>
            </w:pPr>
            <w:r>
              <w:rPr>
                <w:rFonts w:hint="eastAsia" w:ascii="宋体" w:hAnsi="宋体" w:eastAsia="宋体" w:cs="宋体"/>
                <w:sz w:val="18"/>
                <w:szCs w:val="18"/>
              </w:rPr>
              <w:t>防台抢险</w:t>
            </w:r>
          </w:p>
        </w:tc>
        <w:tc>
          <w:tcPr>
            <w:tcW w:w="1836" w:type="dxa"/>
            <w:vAlign w:val="center"/>
          </w:tcPr>
          <w:p>
            <w:pPr>
              <w:widowControl/>
              <w:spacing w:line="380" w:lineRule="exact"/>
              <w:rPr>
                <w:rFonts w:ascii="宋体" w:hAnsi="宋体" w:eastAsia="宋体" w:cs="宋体"/>
                <w:sz w:val="18"/>
                <w:szCs w:val="18"/>
              </w:rPr>
            </w:pPr>
            <w:r>
              <w:rPr>
                <w:rFonts w:hint="eastAsia" w:ascii="宋体" w:hAnsi="宋体" w:eastAsia="宋体" w:cs="宋体"/>
                <w:sz w:val="18"/>
                <w:szCs w:val="18"/>
              </w:rPr>
              <w:t>1—4月</w:t>
            </w:r>
          </w:p>
        </w:tc>
        <w:tc>
          <w:tcPr>
            <w:tcW w:w="6632" w:type="dxa"/>
          </w:tcPr>
          <w:p>
            <w:pPr>
              <w:widowControl/>
              <w:spacing w:line="380" w:lineRule="exact"/>
              <w:rPr>
                <w:rFonts w:ascii="宋体" w:hAnsi="宋体" w:eastAsia="宋体" w:cs="宋体"/>
                <w:sz w:val="18"/>
                <w:szCs w:val="18"/>
              </w:rPr>
            </w:pPr>
            <w:r>
              <w:rPr>
                <w:rFonts w:hint="eastAsia" w:ascii="宋体" w:hAnsi="宋体" w:eastAsia="宋体" w:cs="宋体"/>
                <w:sz w:val="18"/>
                <w:szCs w:val="18"/>
              </w:rPr>
              <w:t>制定防台抢险预警方案。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1242" w:hRule="atLeast"/>
          <w:jc w:val="center"/>
        </w:trPr>
        <w:tc>
          <w:tcPr>
            <w:tcW w:w="1360" w:type="dxa"/>
            <w:vMerge w:val="continue"/>
            <w:vAlign w:val="center"/>
          </w:tcPr>
          <w:p>
            <w:pPr>
              <w:widowControl/>
              <w:spacing w:line="380" w:lineRule="exact"/>
              <w:rPr>
                <w:rFonts w:ascii="宋体" w:hAnsi="宋体" w:eastAsia="宋体" w:cs="宋体"/>
                <w:sz w:val="18"/>
                <w:szCs w:val="18"/>
              </w:rPr>
            </w:pPr>
          </w:p>
        </w:tc>
        <w:tc>
          <w:tcPr>
            <w:tcW w:w="1836" w:type="dxa"/>
            <w:vAlign w:val="center"/>
          </w:tcPr>
          <w:p>
            <w:pPr>
              <w:widowControl/>
              <w:spacing w:line="380" w:lineRule="exact"/>
              <w:rPr>
                <w:rFonts w:ascii="宋体" w:hAnsi="宋体" w:eastAsia="宋体" w:cs="宋体"/>
                <w:sz w:val="18"/>
                <w:szCs w:val="18"/>
              </w:rPr>
            </w:pPr>
            <w:r>
              <w:rPr>
                <w:rFonts w:hint="eastAsia" w:ascii="宋体" w:hAnsi="宋体" w:eastAsia="宋体" w:cs="宋体"/>
                <w:sz w:val="18"/>
                <w:szCs w:val="18"/>
              </w:rPr>
              <w:t>5—7月</w:t>
            </w:r>
          </w:p>
        </w:tc>
        <w:tc>
          <w:tcPr>
            <w:tcW w:w="6632" w:type="dxa"/>
          </w:tcPr>
          <w:p>
            <w:pPr>
              <w:widowControl/>
              <w:spacing w:line="380" w:lineRule="exact"/>
              <w:rPr>
                <w:rFonts w:ascii="宋体" w:hAnsi="宋体" w:eastAsia="宋体" w:cs="宋体"/>
                <w:sz w:val="18"/>
                <w:szCs w:val="18"/>
              </w:rPr>
            </w:pPr>
            <w:r>
              <w:rPr>
                <w:rFonts w:hint="eastAsia" w:ascii="宋体" w:hAnsi="宋体" w:eastAsia="宋体" w:cs="宋体"/>
                <w:sz w:val="18"/>
                <w:szCs w:val="18"/>
              </w:rPr>
              <w:t>对树木存在根浅、迎风、树冠庞大、枝叶过密及立地条件差等实际情况分别采取立柱、绑扎、加土、扶正、疏枝、打地桩等六项综合措施。</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1849" w:hRule="atLeast"/>
          <w:jc w:val="center"/>
        </w:trPr>
        <w:tc>
          <w:tcPr>
            <w:tcW w:w="1360" w:type="dxa"/>
            <w:vMerge w:val="continue"/>
            <w:vAlign w:val="center"/>
          </w:tcPr>
          <w:p>
            <w:pPr>
              <w:widowControl/>
              <w:spacing w:line="380" w:lineRule="exact"/>
              <w:rPr>
                <w:rFonts w:ascii="宋体" w:hAnsi="宋体" w:eastAsia="宋体" w:cs="宋体"/>
                <w:sz w:val="18"/>
                <w:szCs w:val="18"/>
              </w:rPr>
            </w:pPr>
          </w:p>
        </w:tc>
        <w:tc>
          <w:tcPr>
            <w:tcW w:w="1836" w:type="dxa"/>
            <w:vAlign w:val="center"/>
          </w:tcPr>
          <w:p>
            <w:pPr>
              <w:widowControl/>
              <w:spacing w:line="380" w:lineRule="exact"/>
              <w:rPr>
                <w:rFonts w:ascii="宋体" w:hAnsi="宋体" w:eastAsia="宋体" w:cs="宋体"/>
                <w:sz w:val="18"/>
                <w:szCs w:val="18"/>
              </w:rPr>
            </w:pPr>
            <w:r>
              <w:rPr>
                <w:rFonts w:hint="eastAsia" w:ascii="宋体" w:hAnsi="宋体" w:eastAsia="宋体" w:cs="宋体"/>
                <w:sz w:val="18"/>
                <w:szCs w:val="18"/>
              </w:rPr>
              <w:t>8—9月</w:t>
            </w:r>
          </w:p>
        </w:tc>
        <w:tc>
          <w:tcPr>
            <w:tcW w:w="6632" w:type="dxa"/>
          </w:tcPr>
          <w:p>
            <w:pPr>
              <w:widowControl/>
              <w:spacing w:line="380" w:lineRule="exact"/>
              <w:ind w:left="360" w:hanging="360" w:hangingChars="200"/>
              <w:rPr>
                <w:rFonts w:ascii="宋体" w:hAnsi="宋体" w:eastAsia="宋体" w:cs="宋体"/>
                <w:sz w:val="18"/>
                <w:szCs w:val="18"/>
              </w:rPr>
            </w:pPr>
            <w:r>
              <w:rPr>
                <w:rFonts w:hint="eastAsia" w:ascii="宋体" w:hAnsi="宋体" w:eastAsia="宋体" w:cs="宋体"/>
                <w:sz w:val="18"/>
                <w:szCs w:val="18"/>
              </w:rPr>
              <w:t>1、 风暴来临时应将已倒伏而影响交通的树木顺势扶到人行道上，并及时修剪树冠。</w:t>
            </w:r>
          </w:p>
          <w:p>
            <w:pPr>
              <w:widowControl/>
              <w:spacing w:line="380" w:lineRule="exact"/>
              <w:ind w:left="360" w:hanging="360" w:hangingChars="200"/>
              <w:rPr>
                <w:rFonts w:ascii="宋体" w:hAnsi="宋体" w:eastAsia="宋体" w:cs="宋体"/>
                <w:sz w:val="18"/>
                <w:szCs w:val="18"/>
              </w:rPr>
            </w:pPr>
            <w:r>
              <w:rPr>
                <w:rFonts w:hint="eastAsia" w:ascii="宋体" w:hAnsi="宋体" w:eastAsia="宋体" w:cs="宋体"/>
                <w:sz w:val="18"/>
                <w:szCs w:val="18"/>
              </w:rPr>
              <w:t>2、 风雨过后，应分轻重缓急进行抢救。首先抢救市区主干道上妨碍交通和行人的倒伏树木。对于就地难于抢救成活的树木，应强截后移送苗圃种植养护。</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614" w:hRule="atLeast"/>
          <w:jc w:val="center"/>
        </w:trPr>
        <w:tc>
          <w:tcPr>
            <w:tcW w:w="1360" w:type="dxa"/>
            <w:vMerge w:val="restart"/>
            <w:vAlign w:val="center"/>
          </w:tcPr>
          <w:p>
            <w:pPr>
              <w:widowControl/>
              <w:spacing w:line="380" w:lineRule="exact"/>
              <w:rPr>
                <w:rFonts w:ascii="宋体" w:hAnsi="宋体" w:eastAsia="宋体" w:cs="宋体"/>
                <w:sz w:val="18"/>
                <w:szCs w:val="18"/>
              </w:rPr>
            </w:pPr>
            <w:r>
              <w:rPr>
                <w:rFonts w:hint="eastAsia" w:ascii="宋体" w:hAnsi="宋体" w:eastAsia="宋体" w:cs="宋体"/>
                <w:sz w:val="18"/>
                <w:szCs w:val="18"/>
              </w:rPr>
              <w:t>补植</w:t>
            </w:r>
          </w:p>
        </w:tc>
        <w:tc>
          <w:tcPr>
            <w:tcW w:w="1836" w:type="dxa"/>
            <w:vAlign w:val="center"/>
          </w:tcPr>
          <w:p>
            <w:pPr>
              <w:widowControl/>
              <w:spacing w:line="380" w:lineRule="exact"/>
              <w:rPr>
                <w:rFonts w:ascii="宋体" w:hAnsi="宋体" w:eastAsia="宋体" w:cs="宋体"/>
                <w:sz w:val="18"/>
                <w:szCs w:val="18"/>
              </w:rPr>
            </w:pPr>
            <w:r>
              <w:rPr>
                <w:rFonts w:hint="eastAsia" w:ascii="宋体" w:hAnsi="宋体" w:eastAsia="宋体" w:cs="宋体"/>
                <w:sz w:val="18"/>
                <w:szCs w:val="18"/>
              </w:rPr>
              <w:t>12—次年4月</w:t>
            </w:r>
          </w:p>
        </w:tc>
        <w:tc>
          <w:tcPr>
            <w:tcW w:w="6632" w:type="dxa"/>
            <w:vAlign w:val="center"/>
          </w:tcPr>
          <w:p>
            <w:pPr>
              <w:widowControl/>
              <w:spacing w:line="380" w:lineRule="exact"/>
              <w:rPr>
                <w:rFonts w:ascii="宋体" w:hAnsi="宋体" w:eastAsia="宋体" w:cs="宋体"/>
                <w:sz w:val="18"/>
                <w:szCs w:val="18"/>
              </w:rPr>
            </w:pPr>
            <w:r>
              <w:rPr>
                <w:rFonts w:hint="eastAsia" w:ascii="宋体" w:hAnsi="宋体" w:eastAsia="宋体" w:cs="宋体"/>
                <w:sz w:val="18"/>
                <w:szCs w:val="18"/>
              </w:rPr>
              <w:t>落叶树补植</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767" w:hRule="atLeast"/>
          <w:jc w:val="center"/>
        </w:trPr>
        <w:tc>
          <w:tcPr>
            <w:tcW w:w="1360" w:type="dxa"/>
            <w:vMerge w:val="continue"/>
            <w:vAlign w:val="center"/>
          </w:tcPr>
          <w:p>
            <w:pPr>
              <w:widowControl/>
              <w:spacing w:line="380" w:lineRule="exact"/>
              <w:rPr>
                <w:rFonts w:ascii="宋体" w:hAnsi="宋体" w:eastAsia="宋体" w:cs="宋体"/>
                <w:sz w:val="18"/>
                <w:szCs w:val="18"/>
              </w:rPr>
            </w:pPr>
          </w:p>
        </w:tc>
        <w:tc>
          <w:tcPr>
            <w:tcW w:w="1836" w:type="dxa"/>
            <w:vAlign w:val="center"/>
          </w:tcPr>
          <w:p>
            <w:pPr>
              <w:widowControl/>
              <w:spacing w:line="380" w:lineRule="exact"/>
              <w:rPr>
                <w:rFonts w:ascii="宋体" w:hAnsi="宋体" w:eastAsia="宋体" w:cs="宋体"/>
                <w:sz w:val="18"/>
                <w:szCs w:val="18"/>
              </w:rPr>
            </w:pPr>
            <w:r>
              <w:rPr>
                <w:rFonts w:hint="eastAsia" w:ascii="宋体" w:hAnsi="宋体" w:eastAsia="宋体" w:cs="宋体"/>
                <w:sz w:val="18"/>
                <w:szCs w:val="18"/>
              </w:rPr>
              <w:t>2—4月</w:t>
            </w:r>
          </w:p>
          <w:p>
            <w:pPr>
              <w:widowControl/>
              <w:spacing w:line="380" w:lineRule="exact"/>
              <w:rPr>
                <w:rFonts w:ascii="宋体" w:hAnsi="宋体" w:eastAsia="宋体" w:cs="宋体"/>
                <w:sz w:val="18"/>
                <w:szCs w:val="18"/>
              </w:rPr>
            </w:pPr>
            <w:r>
              <w:rPr>
                <w:rFonts w:hint="eastAsia" w:ascii="宋体" w:hAnsi="宋体" w:eastAsia="宋体" w:cs="宋体"/>
                <w:sz w:val="18"/>
                <w:szCs w:val="18"/>
              </w:rPr>
              <w:t>9—10月</w:t>
            </w:r>
          </w:p>
        </w:tc>
        <w:tc>
          <w:tcPr>
            <w:tcW w:w="6632" w:type="dxa"/>
            <w:vAlign w:val="center"/>
          </w:tcPr>
          <w:p>
            <w:pPr>
              <w:widowControl/>
              <w:spacing w:line="380" w:lineRule="exact"/>
              <w:rPr>
                <w:rFonts w:ascii="宋体" w:hAnsi="宋体" w:eastAsia="宋体" w:cs="宋体"/>
                <w:sz w:val="18"/>
                <w:szCs w:val="18"/>
              </w:rPr>
            </w:pPr>
            <w:r>
              <w:rPr>
                <w:rFonts w:hint="eastAsia" w:ascii="宋体" w:hAnsi="宋体" w:eastAsia="宋体" w:cs="宋体"/>
                <w:sz w:val="18"/>
                <w:szCs w:val="18"/>
              </w:rPr>
              <w:t>针叶树、常绿阔叶树补植</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912" w:hRule="atLeast"/>
          <w:jc w:val="center"/>
        </w:trPr>
        <w:tc>
          <w:tcPr>
            <w:tcW w:w="1360" w:type="dxa"/>
            <w:vAlign w:val="center"/>
          </w:tcPr>
          <w:p>
            <w:pPr>
              <w:widowControl/>
              <w:rPr>
                <w:rFonts w:ascii="宋体" w:hAnsi="宋体" w:eastAsia="宋体" w:cs="宋体"/>
                <w:sz w:val="18"/>
                <w:szCs w:val="18"/>
              </w:rPr>
            </w:pPr>
            <w:r>
              <w:rPr>
                <w:rFonts w:hint="eastAsia" w:ascii="宋体" w:hAnsi="宋体" w:eastAsia="宋体" w:cs="宋体"/>
                <w:sz w:val="18"/>
                <w:szCs w:val="18"/>
              </w:rPr>
              <w:t>清除</w:t>
            </w:r>
          </w:p>
          <w:p>
            <w:pPr>
              <w:widowControl/>
              <w:rPr>
                <w:rFonts w:ascii="宋体" w:hAnsi="宋体" w:eastAsia="宋体" w:cs="宋体"/>
                <w:sz w:val="18"/>
                <w:szCs w:val="18"/>
              </w:rPr>
            </w:pPr>
            <w:r>
              <w:rPr>
                <w:rFonts w:hint="eastAsia" w:ascii="宋体" w:hAnsi="宋体" w:eastAsia="宋体" w:cs="宋体"/>
                <w:sz w:val="18"/>
                <w:szCs w:val="18"/>
              </w:rPr>
              <w:t>枯死树木</w:t>
            </w:r>
          </w:p>
        </w:tc>
        <w:tc>
          <w:tcPr>
            <w:tcW w:w="1836" w:type="dxa"/>
            <w:vAlign w:val="center"/>
          </w:tcPr>
          <w:p>
            <w:pPr>
              <w:widowControl/>
              <w:rPr>
                <w:rFonts w:ascii="宋体" w:hAnsi="宋体" w:eastAsia="宋体" w:cs="宋体"/>
                <w:sz w:val="18"/>
                <w:szCs w:val="18"/>
              </w:rPr>
            </w:pPr>
            <w:r>
              <w:rPr>
                <w:rFonts w:hint="eastAsia" w:ascii="宋体" w:hAnsi="宋体" w:eastAsia="宋体" w:cs="宋体"/>
                <w:sz w:val="18"/>
                <w:szCs w:val="18"/>
              </w:rPr>
              <w:t>全年</w:t>
            </w:r>
          </w:p>
        </w:tc>
        <w:tc>
          <w:tcPr>
            <w:tcW w:w="6632" w:type="dxa"/>
            <w:vAlign w:val="center"/>
          </w:tcPr>
          <w:p>
            <w:pPr>
              <w:pStyle w:val="15"/>
              <w:widowControl/>
              <w:ind w:left="360" w:hanging="360" w:hangingChars="200"/>
              <w:rPr>
                <w:rFonts w:ascii="宋体" w:hAnsi="宋体" w:eastAsia="宋体" w:cs="宋体"/>
                <w:sz w:val="18"/>
                <w:szCs w:val="18"/>
              </w:rPr>
            </w:pPr>
            <w:r>
              <w:rPr>
                <w:rFonts w:hint="eastAsia" w:ascii="宋体" w:hAnsi="宋体" w:eastAsia="宋体" w:cs="宋体"/>
                <w:sz w:val="18"/>
                <w:szCs w:val="18"/>
              </w:rPr>
              <w:t>1、 枯死的大树和古树在挖除前，须报市园林主管部门审批。</w:t>
            </w:r>
          </w:p>
          <w:p>
            <w:pPr>
              <w:widowControl/>
              <w:spacing w:line="360" w:lineRule="exact"/>
              <w:rPr>
                <w:rFonts w:ascii="宋体" w:hAnsi="宋体" w:eastAsia="宋体" w:cs="宋体"/>
                <w:sz w:val="18"/>
                <w:szCs w:val="18"/>
              </w:rPr>
            </w:pPr>
            <w:r>
              <w:rPr>
                <w:rFonts w:hint="eastAsia" w:ascii="宋体" w:hAnsi="宋体" w:eastAsia="宋体" w:cs="宋体"/>
                <w:sz w:val="18"/>
                <w:szCs w:val="18"/>
              </w:rPr>
              <w:t>2、 清除枯死树木可结合补植同时进行。</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jc w:val="center"/>
        </w:trPr>
        <w:tc>
          <w:tcPr>
            <w:tcW w:w="1360" w:type="dxa"/>
            <w:vAlign w:val="center"/>
          </w:tcPr>
          <w:p>
            <w:pPr>
              <w:widowControl/>
              <w:rPr>
                <w:rFonts w:ascii="宋体" w:hAnsi="宋体" w:eastAsia="宋体" w:cs="宋体"/>
                <w:sz w:val="18"/>
                <w:szCs w:val="18"/>
              </w:rPr>
            </w:pPr>
            <w:r>
              <w:rPr>
                <w:rFonts w:hint="eastAsia" w:ascii="宋体" w:hAnsi="宋体" w:eastAsia="宋体" w:cs="宋体"/>
                <w:sz w:val="18"/>
                <w:szCs w:val="18"/>
              </w:rPr>
              <w:t>涂白</w:t>
            </w:r>
          </w:p>
        </w:tc>
        <w:tc>
          <w:tcPr>
            <w:tcW w:w="1836" w:type="dxa"/>
            <w:vAlign w:val="center"/>
          </w:tcPr>
          <w:p>
            <w:pPr>
              <w:widowControl/>
              <w:rPr>
                <w:rFonts w:ascii="宋体" w:hAnsi="宋体" w:eastAsia="宋体" w:cs="宋体"/>
                <w:sz w:val="18"/>
                <w:szCs w:val="18"/>
              </w:rPr>
            </w:pPr>
            <w:r>
              <w:rPr>
                <w:rFonts w:hint="eastAsia" w:ascii="宋体" w:hAnsi="宋体" w:eastAsia="宋体" w:cs="宋体"/>
                <w:sz w:val="18"/>
                <w:szCs w:val="18"/>
              </w:rPr>
              <w:t>11/中旬—12月</w:t>
            </w:r>
          </w:p>
        </w:tc>
        <w:tc>
          <w:tcPr>
            <w:tcW w:w="6632" w:type="dxa"/>
            <w:vAlign w:val="center"/>
          </w:tcPr>
          <w:p>
            <w:pPr>
              <w:widowControl/>
              <w:rPr>
                <w:rFonts w:ascii="宋体" w:hAnsi="宋体" w:eastAsia="宋体" w:cs="宋体"/>
                <w:sz w:val="18"/>
                <w:szCs w:val="18"/>
              </w:rPr>
            </w:pPr>
            <w:r>
              <w:rPr>
                <w:rFonts w:hint="eastAsia" w:ascii="宋体" w:hAnsi="宋体" w:eastAsia="宋体" w:cs="宋体"/>
                <w:sz w:val="18"/>
                <w:szCs w:val="18"/>
              </w:rPr>
              <w:t>涂白高度应统一（1—1.5m）。</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31" w:hRule="atLeast"/>
          <w:jc w:val="center"/>
        </w:trPr>
        <w:tc>
          <w:tcPr>
            <w:tcW w:w="1360" w:type="dxa"/>
            <w:vAlign w:val="center"/>
          </w:tcPr>
          <w:p>
            <w:pPr>
              <w:widowControl/>
              <w:rPr>
                <w:rFonts w:ascii="宋体" w:hAnsi="宋体" w:eastAsia="宋体" w:cs="宋体"/>
                <w:sz w:val="18"/>
                <w:szCs w:val="18"/>
              </w:rPr>
            </w:pPr>
            <w:r>
              <w:rPr>
                <w:rFonts w:hint="eastAsia" w:ascii="宋体" w:hAnsi="宋体" w:eastAsia="宋体" w:cs="宋体"/>
                <w:sz w:val="18"/>
                <w:szCs w:val="18"/>
              </w:rPr>
              <w:t>扶正</w:t>
            </w:r>
          </w:p>
        </w:tc>
        <w:tc>
          <w:tcPr>
            <w:tcW w:w="1836" w:type="dxa"/>
            <w:vAlign w:val="center"/>
          </w:tcPr>
          <w:p>
            <w:pPr>
              <w:widowControl/>
              <w:rPr>
                <w:rFonts w:ascii="宋体" w:hAnsi="宋体" w:eastAsia="宋体" w:cs="宋体"/>
                <w:sz w:val="18"/>
                <w:szCs w:val="18"/>
              </w:rPr>
            </w:pPr>
            <w:r>
              <w:rPr>
                <w:rFonts w:hint="eastAsia" w:ascii="宋体" w:hAnsi="宋体" w:eastAsia="宋体" w:cs="宋体"/>
                <w:sz w:val="18"/>
                <w:szCs w:val="18"/>
              </w:rPr>
              <w:t>2—3月</w:t>
            </w:r>
          </w:p>
        </w:tc>
        <w:tc>
          <w:tcPr>
            <w:tcW w:w="6632" w:type="dxa"/>
            <w:vAlign w:val="center"/>
          </w:tcPr>
          <w:p>
            <w:pPr>
              <w:widowControl/>
              <w:spacing w:line="400" w:lineRule="exact"/>
              <w:rPr>
                <w:rFonts w:ascii="宋体" w:hAnsi="宋体" w:eastAsia="宋体" w:cs="宋体"/>
                <w:sz w:val="18"/>
                <w:szCs w:val="18"/>
              </w:rPr>
            </w:pPr>
            <w:r>
              <w:rPr>
                <w:rFonts w:hint="eastAsia" w:ascii="宋体" w:hAnsi="宋体" w:eastAsia="宋体" w:cs="宋体"/>
                <w:sz w:val="18"/>
                <w:szCs w:val="18"/>
              </w:rPr>
              <w:t>扶正倾斜度超过10度的树木，大树扶正后设立支架。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506" w:hRule="atLeast"/>
          <w:jc w:val="center"/>
        </w:trPr>
        <w:tc>
          <w:tcPr>
            <w:tcW w:w="1360" w:type="dxa"/>
            <w:vAlign w:val="center"/>
          </w:tcPr>
          <w:p>
            <w:pPr>
              <w:widowControl/>
              <w:rPr>
                <w:rFonts w:ascii="宋体" w:hAnsi="宋体" w:eastAsia="宋体" w:cs="宋体"/>
                <w:sz w:val="18"/>
                <w:szCs w:val="18"/>
              </w:rPr>
            </w:pPr>
            <w:r>
              <w:rPr>
                <w:rFonts w:hint="eastAsia" w:ascii="宋体" w:hAnsi="宋体" w:eastAsia="宋体" w:cs="宋体"/>
                <w:sz w:val="18"/>
                <w:szCs w:val="18"/>
              </w:rPr>
              <w:t>立柱绑扎</w:t>
            </w:r>
          </w:p>
        </w:tc>
        <w:tc>
          <w:tcPr>
            <w:tcW w:w="1836" w:type="dxa"/>
            <w:vAlign w:val="center"/>
          </w:tcPr>
          <w:p>
            <w:pPr>
              <w:widowControl/>
              <w:rPr>
                <w:rFonts w:ascii="宋体" w:hAnsi="宋体" w:eastAsia="宋体" w:cs="宋体"/>
                <w:sz w:val="18"/>
                <w:szCs w:val="18"/>
              </w:rPr>
            </w:pPr>
            <w:r>
              <w:rPr>
                <w:rFonts w:hint="eastAsia" w:ascii="宋体" w:hAnsi="宋体" w:eastAsia="宋体" w:cs="宋体"/>
                <w:sz w:val="18"/>
                <w:szCs w:val="18"/>
              </w:rPr>
              <w:t>5—7月</w:t>
            </w:r>
          </w:p>
        </w:tc>
        <w:tc>
          <w:tcPr>
            <w:tcW w:w="6632" w:type="dxa"/>
          </w:tcPr>
          <w:p>
            <w:pPr>
              <w:widowControl/>
              <w:spacing w:line="400" w:lineRule="exact"/>
              <w:rPr>
                <w:rFonts w:ascii="宋体" w:hAnsi="宋体" w:eastAsia="宋体" w:cs="宋体"/>
                <w:sz w:val="18"/>
                <w:szCs w:val="18"/>
              </w:rPr>
            </w:pPr>
            <w:r>
              <w:rPr>
                <w:rFonts w:hint="eastAsia" w:ascii="宋体" w:hAnsi="宋体" w:eastAsia="宋体" w:cs="宋体"/>
                <w:sz w:val="18"/>
                <w:szCs w:val="18"/>
              </w:rPr>
              <w:t>1、 绑扎物满一年须松动后重新绑扎；</w:t>
            </w:r>
          </w:p>
          <w:p>
            <w:pPr>
              <w:widowControl/>
              <w:spacing w:line="400" w:lineRule="exact"/>
              <w:rPr>
                <w:rFonts w:ascii="宋体" w:hAnsi="宋体" w:eastAsia="宋体" w:cs="宋体"/>
                <w:sz w:val="18"/>
                <w:szCs w:val="18"/>
              </w:rPr>
            </w:pPr>
            <w:r>
              <w:rPr>
                <w:rFonts w:hint="eastAsia" w:ascii="宋体" w:hAnsi="宋体" w:eastAsia="宋体" w:cs="宋体"/>
                <w:sz w:val="18"/>
                <w:szCs w:val="18"/>
              </w:rPr>
              <w:t>2、 绑扎不牢固、松动的要加固；</w:t>
            </w:r>
          </w:p>
          <w:p>
            <w:pPr>
              <w:widowControl/>
              <w:spacing w:line="400" w:lineRule="exact"/>
              <w:ind w:left="360" w:hanging="360" w:hangingChars="200"/>
              <w:rPr>
                <w:rFonts w:ascii="宋体" w:hAnsi="宋体" w:eastAsia="宋体" w:cs="宋体"/>
                <w:sz w:val="18"/>
                <w:szCs w:val="18"/>
              </w:rPr>
            </w:pPr>
            <w:r>
              <w:rPr>
                <w:rFonts w:hint="eastAsia" w:ascii="宋体" w:hAnsi="宋体" w:eastAsia="宋体" w:cs="宋体"/>
                <w:sz w:val="18"/>
                <w:szCs w:val="18"/>
              </w:rPr>
              <w:t>3、 危险树木、有安全隐患的树木及时立柱、支撑、绑扎。</w:t>
            </w:r>
          </w:p>
          <w:p>
            <w:pPr>
              <w:widowControl/>
              <w:spacing w:line="400" w:lineRule="exact"/>
              <w:ind w:left="360" w:hanging="360" w:hangingChars="200"/>
              <w:rPr>
                <w:rFonts w:ascii="宋体" w:hAnsi="宋体" w:eastAsia="宋体" w:cs="宋体"/>
                <w:sz w:val="18"/>
                <w:szCs w:val="18"/>
              </w:rPr>
            </w:pPr>
            <w:r>
              <w:rPr>
                <w:rFonts w:hint="eastAsia" w:ascii="宋体" w:hAnsi="宋体" w:eastAsia="宋体" w:cs="宋体"/>
                <w:sz w:val="18"/>
                <w:szCs w:val="18"/>
              </w:rPr>
              <w:t>4、 立柱、绑扎规范统一。</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140" w:hRule="atLeast"/>
          <w:jc w:val="center"/>
        </w:trPr>
        <w:tc>
          <w:tcPr>
            <w:tcW w:w="1360" w:type="dxa"/>
            <w:vAlign w:val="center"/>
          </w:tcPr>
          <w:p>
            <w:pPr>
              <w:widowControl/>
              <w:rPr>
                <w:rFonts w:ascii="宋体" w:hAnsi="宋体" w:eastAsia="宋体" w:cs="宋体"/>
                <w:sz w:val="18"/>
                <w:szCs w:val="18"/>
              </w:rPr>
            </w:pPr>
            <w:r>
              <w:rPr>
                <w:rFonts w:hint="eastAsia" w:ascii="宋体" w:hAnsi="宋体" w:eastAsia="宋体" w:cs="宋体"/>
                <w:sz w:val="18"/>
                <w:szCs w:val="18"/>
              </w:rPr>
              <w:t>防冻</w:t>
            </w:r>
          </w:p>
        </w:tc>
        <w:tc>
          <w:tcPr>
            <w:tcW w:w="1836" w:type="dxa"/>
            <w:vAlign w:val="center"/>
          </w:tcPr>
          <w:p>
            <w:pPr>
              <w:widowControl/>
              <w:rPr>
                <w:rFonts w:ascii="宋体" w:hAnsi="宋体" w:eastAsia="宋体" w:cs="宋体"/>
                <w:sz w:val="18"/>
                <w:szCs w:val="18"/>
              </w:rPr>
            </w:pPr>
            <w:r>
              <w:rPr>
                <w:rFonts w:hint="eastAsia" w:ascii="宋体" w:hAnsi="宋体" w:eastAsia="宋体" w:cs="宋体"/>
                <w:sz w:val="18"/>
                <w:szCs w:val="18"/>
              </w:rPr>
              <w:t>12月</w:t>
            </w:r>
          </w:p>
        </w:tc>
        <w:tc>
          <w:tcPr>
            <w:tcW w:w="6632" w:type="dxa"/>
          </w:tcPr>
          <w:p>
            <w:pPr>
              <w:widowControl/>
              <w:numPr>
                <w:ilvl w:val="0"/>
                <w:numId w:val="9"/>
              </w:numPr>
              <w:spacing w:line="400" w:lineRule="exact"/>
              <w:rPr>
                <w:rFonts w:ascii="宋体" w:hAnsi="宋体" w:eastAsia="宋体" w:cs="宋体"/>
                <w:sz w:val="18"/>
                <w:szCs w:val="18"/>
              </w:rPr>
            </w:pPr>
            <w:r>
              <w:rPr>
                <w:rFonts w:hint="eastAsia" w:ascii="宋体" w:hAnsi="宋体" w:eastAsia="宋体" w:cs="宋体"/>
                <w:sz w:val="18"/>
                <w:szCs w:val="18"/>
              </w:rPr>
              <w:t>冷空气来临前适时浇灌防冻水，并浇足浇透。</w:t>
            </w:r>
          </w:p>
          <w:p>
            <w:pPr>
              <w:widowControl/>
              <w:numPr>
                <w:ilvl w:val="0"/>
                <w:numId w:val="9"/>
              </w:numPr>
              <w:spacing w:line="400" w:lineRule="exact"/>
              <w:rPr>
                <w:rFonts w:ascii="宋体" w:hAnsi="宋体" w:eastAsia="宋体" w:cs="宋体"/>
                <w:sz w:val="18"/>
                <w:szCs w:val="18"/>
              </w:rPr>
            </w:pPr>
            <w:r>
              <w:rPr>
                <w:rFonts w:hint="eastAsia" w:ascii="宋体" w:hAnsi="宋体" w:eastAsia="宋体" w:cs="宋体"/>
                <w:sz w:val="18"/>
                <w:szCs w:val="18"/>
              </w:rPr>
              <w:t>耐寒性差、树皮较薄的新植树种用麻布、草绳等包扎过冬</w:t>
            </w:r>
          </w:p>
          <w:p>
            <w:pPr>
              <w:widowControl/>
              <w:numPr>
                <w:ilvl w:val="0"/>
                <w:numId w:val="9"/>
              </w:numPr>
              <w:spacing w:line="400" w:lineRule="exact"/>
              <w:rPr>
                <w:rFonts w:ascii="宋体" w:hAnsi="宋体" w:eastAsia="宋体" w:cs="宋体"/>
                <w:sz w:val="18"/>
                <w:szCs w:val="18"/>
              </w:rPr>
            </w:pPr>
            <w:r>
              <w:rPr>
                <w:rFonts w:hint="eastAsia" w:ascii="宋体" w:hAnsi="宋体" w:eastAsia="宋体" w:cs="宋体"/>
                <w:sz w:val="18"/>
                <w:szCs w:val="18"/>
              </w:rPr>
              <w:t>对抗寒性差的花灌木于根基部堆土防寒。</w:t>
            </w:r>
          </w:p>
          <w:p>
            <w:pPr>
              <w:widowControl/>
              <w:numPr>
                <w:ilvl w:val="0"/>
                <w:numId w:val="9"/>
              </w:numPr>
              <w:spacing w:line="400" w:lineRule="exact"/>
              <w:rPr>
                <w:rFonts w:ascii="宋体" w:hAnsi="宋体" w:eastAsia="宋体" w:cs="宋体"/>
                <w:sz w:val="18"/>
                <w:szCs w:val="18"/>
              </w:rPr>
            </w:pPr>
            <w:r>
              <w:rPr>
                <w:rFonts w:hint="eastAsia" w:ascii="宋体" w:hAnsi="宋体" w:eastAsia="宋体" w:cs="宋体"/>
                <w:sz w:val="18"/>
                <w:szCs w:val="18"/>
              </w:rPr>
              <w:t>合理安排施肥、修剪时期，使枝条充分木质化，提高抗寒性。</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2214" w:hRule="atLeast"/>
          <w:jc w:val="center"/>
        </w:trPr>
        <w:tc>
          <w:tcPr>
            <w:tcW w:w="1360" w:type="dxa"/>
            <w:vAlign w:val="center"/>
          </w:tcPr>
          <w:p>
            <w:pPr>
              <w:widowControl/>
              <w:rPr>
                <w:rFonts w:ascii="宋体" w:hAnsi="宋体" w:eastAsia="宋体" w:cs="宋体"/>
                <w:sz w:val="18"/>
                <w:szCs w:val="18"/>
              </w:rPr>
            </w:pPr>
            <w:r>
              <w:rPr>
                <w:rFonts w:hint="eastAsia" w:ascii="宋体" w:hAnsi="宋体" w:eastAsia="宋体" w:cs="宋体"/>
                <w:sz w:val="18"/>
                <w:szCs w:val="18"/>
              </w:rPr>
              <w:t>养护档案</w:t>
            </w:r>
          </w:p>
        </w:tc>
        <w:tc>
          <w:tcPr>
            <w:tcW w:w="1836" w:type="dxa"/>
            <w:vAlign w:val="center"/>
          </w:tcPr>
          <w:p>
            <w:pPr>
              <w:widowControl/>
              <w:rPr>
                <w:rFonts w:ascii="宋体" w:hAnsi="宋体" w:eastAsia="宋体" w:cs="宋体"/>
                <w:sz w:val="18"/>
                <w:szCs w:val="18"/>
              </w:rPr>
            </w:pPr>
            <w:r>
              <w:rPr>
                <w:rFonts w:hint="eastAsia" w:ascii="宋体" w:hAnsi="宋体" w:eastAsia="宋体" w:cs="宋体"/>
                <w:sz w:val="18"/>
                <w:szCs w:val="18"/>
              </w:rPr>
              <w:t>全年</w:t>
            </w:r>
          </w:p>
        </w:tc>
        <w:tc>
          <w:tcPr>
            <w:tcW w:w="6632" w:type="dxa"/>
            <w:vAlign w:val="center"/>
          </w:tcPr>
          <w:p>
            <w:pPr>
              <w:widowControl/>
              <w:spacing w:line="400" w:lineRule="exact"/>
              <w:rPr>
                <w:rFonts w:ascii="宋体" w:hAnsi="宋体" w:eastAsia="宋体" w:cs="宋体"/>
                <w:sz w:val="18"/>
                <w:szCs w:val="18"/>
              </w:rPr>
            </w:pPr>
            <w:r>
              <w:rPr>
                <w:rFonts w:hint="eastAsia" w:ascii="宋体" w:hAnsi="宋体" w:eastAsia="宋体" w:cs="宋体"/>
                <w:sz w:val="18"/>
                <w:szCs w:val="18"/>
              </w:rPr>
              <w:t>1、 绿地内容调查表、统计表。</w:t>
            </w:r>
          </w:p>
          <w:p>
            <w:pPr>
              <w:widowControl/>
              <w:spacing w:line="400" w:lineRule="exact"/>
              <w:ind w:left="360" w:hanging="360" w:hangingChars="200"/>
              <w:rPr>
                <w:rFonts w:ascii="宋体" w:hAnsi="宋体" w:eastAsia="宋体" w:cs="宋体"/>
                <w:sz w:val="18"/>
                <w:szCs w:val="18"/>
              </w:rPr>
            </w:pPr>
            <w:r>
              <w:rPr>
                <w:rFonts w:hint="eastAsia" w:ascii="宋体" w:hAnsi="宋体" w:eastAsia="宋体" w:cs="宋体"/>
                <w:sz w:val="18"/>
                <w:szCs w:val="18"/>
              </w:rPr>
              <w:t>2、 绿地变更记录表（包括树木补植、绿地开挖、绿地增减、枯死树木挖除等项目，并注明地点、日期、数量、原因、经手人。）</w:t>
            </w:r>
          </w:p>
          <w:p>
            <w:pPr>
              <w:widowControl/>
              <w:spacing w:line="400" w:lineRule="exact"/>
              <w:rPr>
                <w:rFonts w:ascii="宋体" w:hAnsi="宋体" w:eastAsia="宋体" w:cs="宋体"/>
                <w:sz w:val="18"/>
                <w:szCs w:val="18"/>
              </w:rPr>
            </w:pPr>
            <w:r>
              <w:rPr>
                <w:rFonts w:hint="eastAsia" w:ascii="宋体" w:hAnsi="宋体" w:eastAsia="宋体" w:cs="宋体"/>
                <w:sz w:val="18"/>
                <w:szCs w:val="18"/>
              </w:rPr>
              <w:t>3、 养护管理月报表。</w:t>
            </w:r>
          </w:p>
        </w:tc>
      </w:tr>
    </w:tbl>
    <w:p>
      <w:pPr>
        <w:spacing w:line="360" w:lineRule="auto"/>
        <w:ind w:firstLine="420" w:firstLineChars="200"/>
        <w:rPr>
          <w:rFonts w:hint="eastAsia" w:ascii="宋体" w:hAnsi="宋体" w:cs="宋体"/>
          <w:szCs w:val="21"/>
          <w:lang w:eastAsia="zh-CN"/>
        </w:rPr>
      </w:pPr>
    </w:p>
    <w:p>
      <w:pPr>
        <w:spacing w:line="360" w:lineRule="auto"/>
        <w:rPr>
          <w:rFonts w:hint="eastAsia" w:ascii="宋体" w:hAnsi="宋体" w:eastAsia="宋体" w:cs="宋体"/>
          <w:szCs w:val="21"/>
          <w:lang w:eastAsia="zh-CN"/>
        </w:rPr>
      </w:pPr>
      <w:r>
        <w:rPr>
          <w:rFonts w:hint="eastAsia" w:ascii="宋体" w:hAnsi="宋体" w:cs="宋体"/>
          <w:color w:val="FF0000"/>
          <w:sz w:val="24"/>
          <w:szCs w:val="24"/>
          <w:lang w:eastAsia="zh-CN"/>
        </w:rPr>
        <w:t>注：投标公司结合此养护要求，并根据学校实地考察的情况做出</w:t>
      </w:r>
      <w:r>
        <w:rPr>
          <w:rFonts w:hint="eastAsia" w:ascii="宋体" w:hAnsi="宋体" w:cs="宋体"/>
          <w:b/>
          <w:bCs/>
          <w:color w:val="FF0000"/>
          <w:sz w:val="24"/>
          <w:szCs w:val="24"/>
          <w:lang w:eastAsia="zh-CN"/>
        </w:rPr>
        <w:t>每月具体养护绿化方案</w:t>
      </w:r>
      <w:r>
        <w:rPr>
          <w:rFonts w:hint="eastAsia" w:ascii="宋体" w:hAnsi="宋体" w:cs="宋体"/>
          <w:color w:val="FF0000"/>
          <w:sz w:val="24"/>
          <w:szCs w:val="24"/>
          <w:lang w:eastAsia="zh-CN"/>
        </w:rPr>
        <w:t>。</w:t>
      </w:r>
    </w:p>
    <w:bookmarkEnd w:id="34"/>
    <w:bookmarkEnd w:id="35"/>
    <w:bookmarkEnd w:id="36"/>
    <w:p>
      <w:pPr>
        <w:numPr>
          <w:ilvl w:val="0"/>
          <w:numId w:val="0"/>
        </w:numPr>
        <w:jc w:val="both"/>
        <w:outlineLvl w:val="0"/>
        <w:rPr>
          <w:rFonts w:hint="eastAsia" w:ascii="宋体" w:hAnsi="宋体" w:eastAsia="宋体" w:cs="宋体"/>
          <w:b/>
          <w:bCs/>
          <w:color w:val="333333"/>
          <w:sz w:val="28"/>
          <w:szCs w:val="28"/>
          <w:shd w:val="clear" w:color="auto" w:fill="FFFFFF"/>
          <w:lang w:val="en-US" w:eastAsia="zh-CN"/>
        </w:rPr>
      </w:pPr>
      <w:r>
        <w:rPr>
          <w:rFonts w:hint="eastAsia" w:ascii="宋体" w:hAnsi="宋体" w:cs="宋体"/>
          <w:b/>
          <w:bCs/>
          <w:color w:val="333333"/>
          <w:sz w:val="28"/>
          <w:szCs w:val="28"/>
          <w:shd w:val="clear" w:color="auto" w:fill="FFFFFF"/>
          <w:lang w:val="en-US" w:eastAsia="zh-CN"/>
        </w:rPr>
        <w:t xml:space="preserve"> </w:t>
      </w:r>
    </w:p>
    <w:p>
      <w:pPr>
        <w:jc w:val="both"/>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ascii="黑体" w:hAnsi="黑体" w:eastAsia="黑体" w:cs="黑体"/>
          <w:sz w:val="44"/>
          <w:szCs w:val="44"/>
        </w:rPr>
      </w:pPr>
      <w:r>
        <w:rPr>
          <w:rFonts w:hint="eastAsia" w:ascii="黑体" w:hAnsi="黑体" w:eastAsia="黑体" w:cs="黑体"/>
          <w:sz w:val="44"/>
          <w:szCs w:val="44"/>
        </w:rPr>
        <w:t>第</w:t>
      </w:r>
      <w:r>
        <w:rPr>
          <w:rFonts w:hint="eastAsia" w:ascii="黑体" w:hAnsi="黑体" w:eastAsia="黑体" w:cs="黑体"/>
          <w:sz w:val="44"/>
          <w:szCs w:val="44"/>
          <w:lang w:eastAsia="zh-CN"/>
        </w:rPr>
        <w:t>四</w:t>
      </w:r>
      <w:r>
        <w:rPr>
          <w:rFonts w:hint="eastAsia" w:ascii="黑体" w:hAnsi="黑体" w:eastAsia="黑体" w:cs="黑体"/>
          <w:sz w:val="44"/>
          <w:szCs w:val="44"/>
        </w:rPr>
        <w:t xml:space="preserve">部分 </w:t>
      </w:r>
      <w:r>
        <w:rPr>
          <w:rFonts w:hint="eastAsia" w:ascii="黑体" w:hAnsi="黑体" w:eastAsia="黑体" w:cs="黑体"/>
          <w:sz w:val="44"/>
          <w:szCs w:val="44"/>
          <w:lang w:eastAsia="zh-CN"/>
        </w:rPr>
        <w:t>合同主要条款</w:t>
      </w:r>
      <w:r>
        <w:rPr>
          <w:rFonts w:hint="eastAsia" w:ascii="黑体" w:hAnsi="黑体" w:eastAsia="黑体" w:cs="黑体"/>
          <w:sz w:val="44"/>
          <w:szCs w:val="44"/>
          <w:lang w:val="en-US" w:eastAsia="zh-CN"/>
        </w:rPr>
        <w:t xml:space="preserve"> </w:t>
      </w:r>
      <w:r>
        <w:rPr>
          <w:rFonts w:hint="eastAsia" w:ascii="仿宋" w:hAnsi="仿宋" w:eastAsia="仿宋" w:cs="仿宋"/>
          <w:sz w:val="28"/>
          <w:szCs w:val="28"/>
          <w:lang w:val="en-US" w:eastAsia="zh-CN"/>
        </w:rPr>
        <w:t xml:space="preserve"> </w:t>
      </w:r>
      <w:r>
        <w:rPr>
          <w:rFonts w:hint="eastAsia" w:ascii="黑体" w:hAnsi="黑体" w:eastAsia="黑体" w:cs="黑体"/>
          <w:sz w:val="44"/>
          <w:szCs w:val="44"/>
        </w:rPr>
        <w:t xml:space="preserve"> </w:t>
      </w:r>
      <w:bookmarkStart w:id="37" w:name="_Toc373486001"/>
      <w:bookmarkStart w:id="38" w:name="_Toc373486314"/>
      <w:bookmarkStart w:id="39" w:name="_Toc373500467"/>
    </w:p>
    <w:p>
      <w:pPr>
        <w:spacing w:line="60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1、拟中标人（排序第一）接到中标通知三日内签订服务合同，</w:t>
      </w:r>
      <w:r>
        <w:rPr>
          <w:rFonts w:hint="eastAsia" w:ascii="仿宋_GB2312" w:hAnsi="宋体" w:eastAsia="仿宋_GB2312"/>
          <w:sz w:val="32"/>
          <w:szCs w:val="32"/>
          <w:lang w:eastAsia="zh-CN"/>
        </w:rPr>
        <w:t>如若有意延期则</w:t>
      </w:r>
      <w:r>
        <w:rPr>
          <w:rFonts w:hint="eastAsia" w:ascii="仿宋_GB2312" w:hAnsi="宋体" w:eastAsia="仿宋_GB2312"/>
          <w:sz w:val="32"/>
          <w:szCs w:val="32"/>
        </w:rPr>
        <w:t>视为自动放弃，招标人依次确定中标排序第二为中标人。</w:t>
      </w:r>
    </w:p>
    <w:p>
      <w:pPr>
        <w:spacing w:line="600" w:lineRule="auto"/>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2、</w:t>
      </w:r>
      <w:r>
        <w:rPr>
          <w:rFonts w:hint="eastAsia" w:ascii="仿宋_GB2312" w:hAnsi="宋体" w:eastAsia="仿宋_GB2312"/>
          <w:sz w:val="32"/>
          <w:szCs w:val="32"/>
          <w:lang w:eastAsia="zh-CN"/>
        </w:rPr>
        <w:t>养护合同</w:t>
      </w:r>
      <w:r>
        <w:rPr>
          <w:rFonts w:hint="eastAsia" w:ascii="仿宋_GB2312" w:hAnsi="宋体" w:eastAsia="仿宋_GB2312"/>
          <w:sz w:val="32"/>
          <w:szCs w:val="32"/>
        </w:rPr>
        <w:t>有效期为</w:t>
      </w:r>
      <w:r>
        <w:rPr>
          <w:rFonts w:hint="eastAsia" w:ascii="仿宋_GB2312" w:hAnsi="宋体" w:eastAsia="仿宋_GB2312"/>
          <w:sz w:val="32"/>
          <w:szCs w:val="32"/>
          <w:lang w:eastAsia="zh-CN"/>
        </w:rPr>
        <w:t>叁</w:t>
      </w:r>
      <w:r>
        <w:rPr>
          <w:rFonts w:hint="eastAsia" w:ascii="仿宋_GB2312" w:hAnsi="宋体" w:eastAsia="仿宋_GB2312"/>
          <w:sz w:val="32"/>
          <w:szCs w:val="32"/>
        </w:rPr>
        <w:t>年</w:t>
      </w:r>
      <w:r>
        <w:rPr>
          <w:rFonts w:hint="eastAsia" w:ascii="仿宋_GB2312" w:hAnsi="宋体" w:eastAsia="仿宋_GB2312"/>
          <w:sz w:val="32"/>
          <w:szCs w:val="32"/>
          <w:lang w:eastAsia="zh-CN"/>
        </w:rPr>
        <w:t>（</w:t>
      </w:r>
      <w:r>
        <w:rPr>
          <w:rFonts w:hint="eastAsia"/>
          <w:sz w:val="28"/>
        </w:rPr>
        <w:t>2018</w:t>
      </w:r>
      <w:r>
        <w:rPr>
          <w:rFonts w:hint="eastAsia"/>
          <w:sz w:val="28"/>
          <w:lang w:val="en-US" w:eastAsia="zh-CN"/>
        </w:rPr>
        <w:t>年1月</w:t>
      </w:r>
      <w:r>
        <w:rPr>
          <w:rFonts w:hint="eastAsia"/>
          <w:sz w:val="28"/>
        </w:rPr>
        <w:t>-202</w:t>
      </w:r>
      <w:r>
        <w:rPr>
          <w:rFonts w:hint="eastAsia"/>
          <w:sz w:val="28"/>
          <w:lang w:val="en-US" w:eastAsia="zh-CN"/>
        </w:rPr>
        <w:t>1</w:t>
      </w:r>
      <w:r>
        <w:rPr>
          <w:rFonts w:hint="eastAsia"/>
          <w:sz w:val="28"/>
          <w:lang w:eastAsia="zh-CN"/>
        </w:rPr>
        <w:t>年</w:t>
      </w:r>
      <w:r>
        <w:rPr>
          <w:rFonts w:hint="eastAsia"/>
          <w:sz w:val="28"/>
          <w:lang w:val="en-US" w:eastAsia="zh-CN"/>
        </w:rPr>
        <w:t>1月</w:t>
      </w:r>
      <w:r>
        <w:rPr>
          <w:rFonts w:hint="eastAsia" w:ascii="仿宋_GB2312" w:hAnsi="宋体" w:eastAsia="仿宋_GB2312"/>
          <w:sz w:val="32"/>
          <w:szCs w:val="32"/>
          <w:lang w:eastAsia="zh-CN"/>
        </w:rPr>
        <w:t>），养护</w:t>
      </w:r>
      <w:r>
        <w:rPr>
          <w:rFonts w:hint="eastAsia"/>
          <w:sz w:val="28"/>
        </w:rPr>
        <w:t>面积：</w:t>
      </w:r>
      <w:r>
        <w:rPr>
          <w:rFonts w:hint="eastAsia"/>
          <w:sz w:val="28"/>
          <w:lang w:eastAsia="zh-CN"/>
        </w:rPr>
        <w:t>约</w:t>
      </w:r>
      <w:r>
        <w:rPr>
          <w:rFonts w:hint="eastAsia"/>
          <w:sz w:val="28"/>
        </w:rPr>
        <w:t>80000m²</w:t>
      </w:r>
      <w:r>
        <w:rPr>
          <w:rFonts w:hint="eastAsia"/>
          <w:sz w:val="28"/>
          <w:lang w:eastAsia="zh-CN"/>
        </w:rPr>
        <w:t>（包含园林、花草、中草药园林等）</w:t>
      </w:r>
      <w:r>
        <w:rPr>
          <w:rFonts w:hint="eastAsia"/>
          <w:sz w:val="28"/>
        </w:rPr>
        <w:t>。</w:t>
      </w:r>
      <w:r>
        <w:rPr>
          <w:rFonts w:hint="eastAsia" w:ascii="仿宋_GB2312" w:hAnsi="宋体" w:eastAsia="仿宋_GB2312"/>
          <w:sz w:val="32"/>
          <w:szCs w:val="32"/>
          <w:lang w:eastAsia="zh-CN"/>
        </w:rPr>
        <w:t>具体内容以后续签订合同为准。</w:t>
      </w:r>
    </w:p>
    <w:p>
      <w:pPr>
        <w:spacing w:line="600" w:lineRule="auto"/>
        <w:ind w:firstLine="640" w:firstLineChars="200"/>
        <w:rPr>
          <w:rFonts w:hint="eastAsia" w:ascii="仿宋_GB2312" w:hAnsi="宋体" w:eastAsia="仿宋_GB2312"/>
          <w:sz w:val="32"/>
          <w:szCs w:val="32"/>
          <w:lang w:val="en-US" w:eastAsia="zh-CN"/>
        </w:rPr>
      </w:pPr>
    </w:p>
    <w:p>
      <w:pPr>
        <w:jc w:val="both"/>
        <w:outlineLvl w:val="0"/>
        <w:rPr>
          <w:rFonts w:ascii="黑体" w:hAnsi="黑体" w:eastAsia="黑体" w:cs="黑体"/>
          <w:sz w:val="44"/>
          <w:szCs w:val="44"/>
        </w:rPr>
      </w:pPr>
      <w:r>
        <w:rPr>
          <w:rFonts w:ascii="黑体" w:hAnsi="黑体" w:eastAsia="黑体" w:cs="黑体"/>
          <w:sz w:val="44"/>
          <w:szCs w:val="44"/>
        </w:rPr>
        <w:br w:type="page"/>
      </w:r>
      <w:r>
        <w:rPr>
          <w:rFonts w:hint="eastAsia" w:ascii="黑体" w:hAnsi="黑体" w:eastAsia="黑体" w:cs="黑体"/>
          <w:sz w:val="44"/>
          <w:szCs w:val="44"/>
        </w:rPr>
        <w:t>第五部分 附件</w:t>
      </w:r>
      <w:bookmarkEnd w:id="37"/>
      <w:bookmarkEnd w:id="38"/>
      <w:bookmarkEnd w:id="39"/>
    </w:p>
    <w:p>
      <w:pPr>
        <w:rPr>
          <w:rFonts w:ascii="仿宋" w:hAnsi="仿宋" w:eastAsia="仿宋" w:cs="仿宋"/>
          <w:bCs/>
          <w:szCs w:val="21"/>
        </w:rPr>
      </w:pPr>
      <w:r>
        <w:rPr>
          <w:rFonts w:hint="eastAsia" w:ascii="仿宋" w:hAnsi="仿宋" w:eastAsia="仿宋" w:cs="仿宋"/>
          <w:bCs/>
          <w:sz w:val="24"/>
        </w:rPr>
        <w:t>附件</w:t>
      </w:r>
      <w:r>
        <w:rPr>
          <w:rFonts w:hint="eastAsia" w:ascii="仿宋" w:hAnsi="仿宋" w:eastAsia="仿宋" w:cs="仿宋"/>
          <w:bCs/>
          <w:szCs w:val="21"/>
        </w:rPr>
        <w:t>：</w:t>
      </w:r>
    </w:p>
    <w:p>
      <w:pPr>
        <w:rPr>
          <w:rFonts w:ascii="仿宋" w:hAnsi="仿宋" w:eastAsia="仿宋" w:cs="仿宋"/>
          <w:bCs/>
          <w:szCs w:val="21"/>
        </w:rPr>
      </w:pPr>
    </w:p>
    <w:p>
      <w:pPr>
        <w:jc w:val="center"/>
        <w:outlineLvl w:val="1"/>
        <w:rPr>
          <w:rFonts w:ascii="仿宋" w:hAnsi="仿宋" w:eastAsia="仿宋" w:cs="仿宋"/>
          <w:b/>
          <w:sz w:val="36"/>
          <w:szCs w:val="36"/>
        </w:rPr>
      </w:pPr>
      <w:bookmarkStart w:id="40" w:name="_Toc373500468"/>
      <w:bookmarkStart w:id="41" w:name="_Toc373486002"/>
      <w:bookmarkStart w:id="42" w:name="_Toc373486315"/>
      <w:r>
        <w:rPr>
          <w:rFonts w:hint="eastAsia" w:ascii="仿宋" w:hAnsi="仿宋" w:eastAsia="仿宋" w:cs="仿宋"/>
          <w:b/>
          <w:sz w:val="36"/>
          <w:szCs w:val="36"/>
        </w:rPr>
        <w:t>开标一览表</w:t>
      </w:r>
      <w:bookmarkEnd w:id="40"/>
      <w:bookmarkEnd w:id="41"/>
      <w:bookmarkEnd w:id="42"/>
      <w:r>
        <w:rPr>
          <w:rFonts w:hint="eastAsia" w:ascii="仿宋" w:hAnsi="仿宋" w:eastAsia="仿宋" w:cs="仿宋"/>
          <w:b/>
          <w:sz w:val="36"/>
          <w:szCs w:val="36"/>
        </w:rPr>
        <w:t xml:space="preserve"> </w:t>
      </w:r>
    </w:p>
    <w:p>
      <w:pPr>
        <w:spacing w:line="360" w:lineRule="auto"/>
        <w:rPr>
          <w:rFonts w:ascii="仿宋" w:hAnsi="仿宋" w:eastAsia="仿宋" w:cs="仿宋"/>
          <w:sz w:val="24"/>
        </w:rPr>
      </w:pPr>
      <w:r>
        <w:rPr>
          <w:rFonts w:hint="eastAsia" w:ascii="仿宋" w:hAnsi="仿宋" w:eastAsia="仿宋" w:cs="仿宋"/>
          <w:sz w:val="24"/>
        </w:rPr>
        <w:t>项目名称：</w:t>
      </w:r>
    </w:p>
    <w:p>
      <w:pPr>
        <w:spacing w:line="360" w:lineRule="auto"/>
        <w:rPr>
          <w:rFonts w:ascii="仿宋" w:hAnsi="仿宋" w:eastAsia="仿宋" w:cs="仿宋"/>
          <w:sz w:val="24"/>
        </w:rPr>
      </w:pPr>
      <w:r>
        <w:rPr>
          <w:rFonts w:hint="eastAsia" w:ascii="仿宋" w:hAnsi="仿宋" w:eastAsia="仿宋" w:cs="仿宋"/>
          <w:sz w:val="24"/>
        </w:rPr>
        <w:t xml:space="preserve">投标人名称：                   </w:t>
      </w:r>
    </w:p>
    <w:tbl>
      <w:tblPr>
        <w:tblStyle w:val="27"/>
        <w:tblW w:w="9218"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3022"/>
        <w:gridCol w:w="3090"/>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381" w:type="dxa"/>
            <w:vAlign w:val="center"/>
          </w:tcPr>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服务名称</w:t>
            </w:r>
          </w:p>
        </w:tc>
        <w:tc>
          <w:tcPr>
            <w:tcW w:w="3022" w:type="dxa"/>
            <w:vAlign w:val="center"/>
          </w:tcPr>
          <w:p>
            <w:pPr>
              <w:tabs>
                <w:tab w:val="left" w:pos="60"/>
              </w:tabs>
              <w:spacing w:line="360" w:lineRule="auto"/>
              <w:jc w:val="center"/>
              <w:rPr>
                <w:rFonts w:ascii="仿宋" w:hAnsi="仿宋" w:eastAsia="仿宋" w:cs="仿宋"/>
                <w:sz w:val="28"/>
                <w:szCs w:val="28"/>
              </w:rPr>
            </w:pPr>
            <w:r>
              <w:rPr>
                <w:rFonts w:hint="eastAsia" w:ascii="仿宋" w:hAnsi="仿宋" w:eastAsia="仿宋" w:cs="仿宋"/>
                <w:sz w:val="28"/>
                <w:szCs w:val="28"/>
              </w:rPr>
              <w:t>投标报价</w:t>
            </w:r>
          </w:p>
        </w:tc>
        <w:tc>
          <w:tcPr>
            <w:tcW w:w="3090"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lang w:eastAsia="zh-CN"/>
              </w:rPr>
              <w:t>服务</w:t>
            </w:r>
            <w:r>
              <w:rPr>
                <w:rFonts w:hint="eastAsia" w:ascii="仿宋" w:hAnsi="仿宋" w:eastAsia="仿宋" w:cs="仿宋"/>
                <w:sz w:val="28"/>
                <w:szCs w:val="28"/>
              </w:rPr>
              <w:t>期</w:t>
            </w:r>
          </w:p>
        </w:tc>
        <w:tc>
          <w:tcPr>
            <w:tcW w:w="1725"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381" w:type="dxa"/>
          </w:tcPr>
          <w:p>
            <w:pPr>
              <w:spacing w:line="360" w:lineRule="auto"/>
              <w:rPr>
                <w:rFonts w:ascii="仿宋" w:hAnsi="仿宋" w:eastAsia="仿宋" w:cs="仿宋"/>
                <w:sz w:val="28"/>
                <w:szCs w:val="28"/>
              </w:rPr>
            </w:pPr>
          </w:p>
        </w:tc>
        <w:tc>
          <w:tcPr>
            <w:tcW w:w="3022" w:type="dxa"/>
          </w:tcPr>
          <w:p>
            <w:pPr>
              <w:spacing w:line="360" w:lineRule="auto"/>
              <w:rPr>
                <w:rFonts w:ascii="仿宋" w:hAnsi="仿宋" w:eastAsia="仿宋" w:cs="仿宋"/>
                <w:sz w:val="28"/>
                <w:szCs w:val="28"/>
              </w:rPr>
            </w:pPr>
          </w:p>
        </w:tc>
        <w:tc>
          <w:tcPr>
            <w:tcW w:w="3090" w:type="dxa"/>
          </w:tcPr>
          <w:p>
            <w:pPr>
              <w:spacing w:line="360" w:lineRule="auto"/>
              <w:rPr>
                <w:rFonts w:ascii="仿宋" w:hAnsi="仿宋" w:eastAsia="仿宋" w:cs="仿宋"/>
                <w:sz w:val="28"/>
                <w:szCs w:val="28"/>
              </w:rPr>
            </w:pPr>
          </w:p>
        </w:tc>
        <w:tc>
          <w:tcPr>
            <w:tcW w:w="1725" w:type="dxa"/>
          </w:tcPr>
          <w:p>
            <w:pPr>
              <w:spacing w:line="360" w:lineRule="auto"/>
              <w:rPr>
                <w:rFonts w:ascii="仿宋" w:hAnsi="仿宋" w:eastAsia="仿宋" w:cs="仿宋"/>
                <w:sz w:val="28"/>
                <w:szCs w:val="28"/>
              </w:rPr>
            </w:pPr>
          </w:p>
        </w:tc>
      </w:tr>
    </w:tbl>
    <w:p>
      <w:pPr>
        <w:spacing w:line="360" w:lineRule="auto"/>
        <w:ind w:left="14" w:hanging="14" w:hangingChars="6"/>
        <w:rPr>
          <w:rFonts w:hint="eastAsia" w:ascii="仿宋" w:hAnsi="仿宋" w:eastAsia="仿宋" w:cs="仿宋"/>
          <w:sz w:val="24"/>
        </w:rPr>
      </w:pPr>
    </w:p>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注：1.此表请单独密封，信封封面请注明招标项目名称、投标人名称及"开标一览表"字样。    </w:t>
      </w:r>
    </w:p>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    2.投标报价应包含项目实施过程中不可预见的一切费用。                </w:t>
      </w:r>
    </w:p>
    <w:p>
      <w:pPr>
        <w:spacing w:line="360" w:lineRule="auto"/>
        <w:ind w:firstLine="480" w:firstLineChars="200"/>
        <w:rPr>
          <w:rFonts w:ascii="仿宋" w:hAnsi="仿宋" w:eastAsia="仿宋" w:cs="仿宋"/>
          <w:sz w:val="24"/>
        </w:rPr>
      </w:pPr>
      <w:r>
        <w:rPr>
          <w:rFonts w:hint="eastAsia" w:ascii="仿宋" w:hAnsi="仿宋" w:eastAsia="仿宋" w:cs="仿宋"/>
          <w:sz w:val="24"/>
        </w:rPr>
        <w:t>3.“开标一览表”的内容应与投标文件的其他相关内容一致。如果“开标一览表”的内容与“投标报价明细表”以及投标文件的其他相关内容不一致，则以“开标一览表”的内容为准。</w:t>
      </w:r>
    </w:p>
    <w:p>
      <w:pPr>
        <w:spacing w:line="360" w:lineRule="auto"/>
        <w:rPr>
          <w:rFonts w:ascii="仿宋" w:hAnsi="仿宋" w:eastAsia="仿宋" w:cs="仿宋"/>
          <w:sz w:val="24"/>
        </w:rPr>
      </w:pPr>
    </w:p>
    <w:p>
      <w:pPr>
        <w:pStyle w:val="16"/>
        <w:spacing w:line="440" w:lineRule="exact"/>
        <w:ind w:firstLine="2880" w:firstLineChars="1200"/>
        <w:rPr>
          <w:rFonts w:ascii="仿宋" w:hAnsi="仿宋" w:eastAsia="仿宋" w:cs="仿宋"/>
          <w:spacing w:val="20"/>
          <w:sz w:val="24"/>
        </w:rPr>
      </w:pPr>
      <w:r>
        <w:rPr>
          <w:rFonts w:hint="eastAsia" w:ascii="仿宋" w:hAnsi="仿宋" w:eastAsia="仿宋" w:cs="仿宋"/>
          <w:sz w:val="24"/>
        </w:rPr>
        <w:t xml:space="preserve">    </w:t>
      </w: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r>
        <w:rPr>
          <w:rFonts w:hint="eastAsia" w:ascii="仿宋" w:hAnsi="仿宋" w:eastAsia="仿宋" w:cs="仿宋"/>
          <w:spacing w:val="20"/>
          <w:sz w:val="24"/>
        </w:rPr>
        <w:t xml:space="preserve"> </w:t>
      </w:r>
    </w:p>
    <w:p>
      <w:pPr>
        <w:pStyle w:val="16"/>
        <w:spacing w:line="440" w:lineRule="exact"/>
        <w:ind w:firstLine="5320" w:firstLineChars="19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6"/>
        <w:spacing w:line="440" w:lineRule="exact"/>
        <w:ind w:firstLine="5320" w:firstLineChars="19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仿宋" w:hAnsi="仿宋" w:eastAsia="仿宋" w:cs="仿宋"/>
          <w:bCs/>
          <w:sz w:val="24"/>
        </w:rPr>
      </w:pPr>
    </w:p>
    <w:p>
      <w:pPr>
        <w:rPr>
          <w:rFonts w:ascii="仿宋" w:hAnsi="仿宋" w:eastAsia="仿宋" w:cs="仿宋"/>
          <w:bCs/>
          <w:sz w:val="24"/>
        </w:rPr>
      </w:pPr>
      <w:r>
        <w:rPr>
          <w:rFonts w:ascii="仿宋" w:hAnsi="仿宋" w:eastAsia="仿宋" w:cs="仿宋"/>
          <w:bCs/>
          <w:sz w:val="24"/>
        </w:rPr>
        <w:br w:type="page"/>
      </w:r>
      <w:r>
        <w:rPr>
          <w:rFonts w:hint="eastAsia" w:ascii="仿宋" w:hAnsi="仿宋" w:eastAsia="仿宋" w:cs="仿宋"/>
          <w:bCs/>
          <w:sz w:val="24"/>
        </w:rPr>
        <w:t>附件：</w:t>
      </w:r>
    </w:p>
    <w:p>
      <w:pPr>
        <w:jc w:val="center"/>
        <w:outlineLvl w:val="1"/>
        <w:rPr>
          <w:rFonts w:ascii="仿宋" w:hAnsi="仿宋" w:eastAsia="仿宋" w:cs="仿宋"/>
          <w:b/>
          <w:sz w:val="30"/>
        </w:rPr>
      </w:pPr>
      <w:bookmarkStart w:id="43" w:name="_Toc373486316"/>
      <w:bookmarkStart w:id="44" w:name="_Toc373486003"/>
      <w:bookmarkStart w:id="45" w:name="_Toc373500469"/>
      <w:r>
        <w:rPr>
          <w:rFonts w:hint="eastAsia" w:ascii="仿宋" w:hAnsi="仿宋" w:eastAsia="仿宋" w:cs="仿宋"/>
          <w:b/>
          <w:sz w:val="36"/>
          <w:szCs w:val="36"/>
        </w:rPr>
        <w:t>投标函</w:t>
      </w:r>
      <w:bookmarkEnd w:id="43"/>
      <w:bookmarkEnd w:id="44"/>
      <w:bookmarkEnd w:id="45"/>
    </w:p>
    <w:p>
      <w:pPr>
        <w:pStyle w:val="16"/>
        <w:tabs>
          <w:tab w:val="left" w:pos="0"/>
        </w:tabs>
        <w:spacing w:line="440" w:lineRule="exact"/>
        <w:rPr>
          <w:rFonts w:ascii="仿宋" w:hAnsi="仿宋" w:eastAsia="仿宋" w:cs="仿宋"/>
          <w:sz w:val="24"/>
        </w:rPr>
      </w:pPr>
      <w:r>
        <w:rPr>
          <w:rFonts w:hint="eastAsia" w:ascii="仿宋" w:hAnsi="仿宋" w:eastAsia="仿宋" w:cs="仿宋"/>
          <w:sz w:val="24"/>
          <w:u w:val="single"/>
        </w:rPr>
        <w:t xml:space="preserve">中山大学新华学院 </w:t>
      </w:r>
      <w:r>
        <w:rPr>
          <w:rFonts w:hint="eastAsia" w:ascii="仿宋" w:hAnsi="仿宋" w:eastAsia="仿宋" w:cs="仿宋"/>
          <w:sz w:val="24"/>
        </w:rPr>
        <w:t>：</w:t>
      </w:r>
    </w:p>
    <w:p>
      <w:pPr>
        <w:pStyle w:val="16"/>
        <w:spacing w:line="440" w:lineRule="exact"/>
        <w:ind w:firstLine="720"/>
        <w:rPr>
          <w:rFonts w:ascii="仿宋" w:hAnsi="仿宋" w:eastAsia="仿宋" w:cs="仿宋"/>
          <w:sz w:val="24"/>
        </w:rPr>
      </w:pPr>
      <w:r>
        <w:rPr>
          <w:rFonts w:hint="eastAsia" w:ascii="仿宋" w:hAnsi="仿宋" w:eastAsia="仿宋" w:cs="仿宋"/>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pPr>
        <w:numPr>
          <w:ilvl w:val="0"/>
          <w:numId w:val="10"/>
        </w:numPr>
        <w:spacing w:line="360" w:lineRule="auto"/>
        <w:ind w:firstLine="480" w:firstLineChars="200"/>
        <w:rPr>
          <w:rFonts w:ascii="仿宋" w:hAnsi="仿宋" w:eastAsia="仿宋" w:cs="仿宋"/>
          <w:sz w:val="24"/>
        </w:rPr>
      </w:pPr>
      <w:r>
        <w:rPr>
          <w:rFonts w:hint="eastAsia" w:ascii="仿宋" w:hAnsi="仿宋" w:eastAsia="仿宋" w:cs="仿宋"/>
          <w:sz w:val="24"/>
        </w:rPr>
        <w:t>提供投标须知规定的全部投标文件：</w:t>
      </w:r>
    </w:p>
    <w:p>
      <w:pPr>
        <w:spacing w:line="360" w:lineRule="auto"/>
        <w:ind w:firstLine="480" w:firstLineChars="200"/>
        <w:rPr>
          <w:rFonts w:ascii="仿宋" w:hAnsi="仿宋" w:eastAsia="仿宋" w:cs="仿宋"/>
          <w:sz w:val="24"/>
        </w:rPr>
      </w:pPr>
      <w:r>
        <w:rPr>
          <w:rFonts w:hint="eastAsia" w:ascii="仿宋" w:hAnsi="仿宋" w:eastAsia="仿宋" w:cs="仿宋"/>
          <w:sz w:val="24"/>
        </w:rPr>
        <w:t>一式五份，其中正本一份，副本四份；具体要求按照招标文件规定。</w:t>
      </w:r>
    </w:p>
    <w:p>
      <w:pPr>
        <w:numPr>
          <w:ilvl w:val="0"/>
          <w:numId w:val="10"/>
        </w:numPr>
        <w:spacing w:line="360" w:lineRule="auto"/>
        <w:ind w:firstLine="480" w:firstLineChars="200"/>
        <w:rPr>
          <w:rFonts w:ascii="仿宋" w:hAnsi="仿宋" w:eastAsia="仿宋" w:cs="仿宋"/>
          <w:sz w:val="24"/>
        </w:rPr>
      </w:pPr>
      <w:r>
        <w:rPr>
          <w:rFonts w:hint="eastAsia" w:ascii="仿宋" w:hAnsi="仿宋" w:eastAsia="仿宋" w:cs="仿宋"/>
          <w:sz w:val="24"/>
        </w:rPr>
        <w:t>总投标价为（大写）：</w:t>
      </w:r>
      <w:r>
        <w:rPr>
          <w:rFonts w:hint="eastAsia" w:ascii="仿宋" w:hAnsi="仿宋" w:eastAsia="仿宋" w:cs="仿宋"/>
          <w:sz w:val="24"/>
          <w:u w:val="single"/>
        </w:rPr>
        <w:t xml:space="preserve">                 </w:t>
      </w:r>
      <w:r>
        <w:rPr>
          <w:rFonts w:hint="eastAsia" w:ascii="仿宋" w:hAnsi="仿宋" w:eastAsia="仿宋" w:cs="仿宋"/>
          <w:sz w:val="24"/>
        </w:rPr>
        <w:t>元人民币；</w:t>
      </w:r>
    </w:p>
    <w:p>
      <w:pPr>
        <w:pStyle w:val="16"/>
        <w:numPr>
          <w:ilvl w:val="0"/>
          <w:numId w:val="10"/>
        </w:numPr>
        <w:spacing w:line="440" w:lineRule="exact"/>
        <w:ind w:firstLine="480" w:firstLineChars="200"/>
        <w:rPr>
          <w:rFonts w:ascii="仿宋" w:hAnsi="仿宋" w:eastAsia="仿宋" w:cs="仿宋"/>
          <w:sz w:val="24"/>
        </w:rPr>
      </w:pPr>
      <w:r>
        <w:rPr>
          <w:rFonts w:hint="eastAsia" w:ascii="仿宋" w:hAnsi="仿宋" w:eastAsia="仿宋" w:cs="仿宋"/>
          <w:sz w:val="24"/>
        </w:rPr>
        <w:t>保证忠实地执行双方所签订的合同，并承担合同规定的责任和义务。</w:t>
      </w:r>
    </w:p>
    <w:p>
      <w:pPr>
        <w:pStyle w:val="16"/>
        <w:numPr>
          <w:ilvl w:val="0"/>
          <w:numId w:val="10"/>
        </w:numPr>
        <w:spacing w:line="440" w:lineRule="exact"/>
        <w:ind w:firstLine="480" w:firstLineChars="200"/>
        <w:rPr>
          <w:rFonts w:ascii="仿宋" w:hAnsi="仿宋" w:eastAsia="仿宋" w:cs="仿宋"/>
          <w:sz w:val="24"/>
        </w:rPr>
      </w:pPr>
      <w:r>
        <w:rPr>
          <w:rFonts w:hint="eastAsia" w:ascii="仿宋" w:hAnsi="仿宋" w:eastAsia="仿宋" w:cs="仿宋"/>
          <w:sz w:val="24"/>
        </w:rPr>
        <w:t>保证遵守招标文件中的其他有关条款。</w:t>
      </w:r>
    </w:p>
    <w:p>
      <w:pPr>
        <w:pStyle w:val="16"/>
        <w:numPr>
          <w:ilvl w:val="0"/>
          <w:numId w:val="10"/>
        </w:numPr>
        <w:spacing w:line="440" w:lineRule="exact"/>
        <w:ind w:firstLine="480" w:firstLineChars="200"/>
        <w:rPr>
          <w:rFonts w:ascii="仿宋" w:hAnsi="仿宋" w:eastAsia="仿宋" w:cs="仿宋"/>
          <w:sz w:val="24"/>
        </w:rPr>
      </w:pPr>
      <w:r>
        <w:rPr>
          <w:rFonts w:hint="eastAsia" w:ascii="仿宋" w:hAnsi="仿宋" w:eastAsia="仿宋" w:cs="仿宋"/>
          <w:sz w:val="24"/>
        </w:rPr>
        <w:t>我方愿意向贵方提供真实完整的任何与该项投标有关的数据、情况和技术资料，若贵方需要，我方愿意提供我方作出的一切承诺的证明材料。</w:t>
      </w:r>
    </w:p>
    <w:p>
      <w:pPr>
        <w:pStyle w:val="16"/>
        <w:numPr>
          <w:ilvl w:val="0"/>
          <w:numId w:val="10"/>
        </w:numPr>
        <w:spacing w:line="440" w:lineRule="exact"/>
        <w:ind w:firstLine="480" w:firstLineChars="200"/>
        <w:rPr>
          <w:rFonts w:ascii="仿宋" w:hAnsi="仿宋" w:eastAsia="仿宋" w:cs="仿宋"/>
          <w:sz w:val="24"/>
        </w:rPr>
      </w:pPr>
      <w:r>
        <w:rPr>
          <w:rFonts w:hint="eastAsia" w:ascii="仿宋" w:hAnsi="仿宋" w:eastAsia="仿宋" w:cs="仿宋"/>
          <w:sz w:val="24"/>
        </w:rPr>
        <w:t>我方已详细审核全部招标文件，包括招标文件的澄清或修改文件、参考资料及</w:t>
      </w:r>
    </w:p>
    <w:p>
      <w:pPr>
        <w:pStyle w:val="16"/>
        <w:spacing w:line="440" w:lineRule="exact"/>
        <w:ind w:firstLine="480" w:firstLineChars="200"/>
        <w:rPr>
          <w:rFonts w:ascii="仿宋" w:hAnsi="仿宋" w:eastAsia="仿宋" w:cs="仿宋"/>
          <w:sz w:val="24"/>
        </w:rPr>
      </w:pPr>
      <w:r>
        <w:rPr>
          <w:rFonts w:hint="eastAsia" w:ascii="仿宋" w:hAnsi="仿宋" w:eastAsia="仿宋" w:cs="仿宋"/>
          <w:sz w:val="24"/>
        </w:rPr>
        <w:t xml:space="preserve">   有关附件，确认无误。</w:t>
      </w:r>
    </w:p>
    <w:p>
      <w:pPr>
        <w:pStyle w:val="16"/>
        <w:numPr>
          <w:ilvl w:val="0"/>
          <w:numId w:val="10"/>
        </w:numPr>
        <w:spacing w:line="440" w:lineRule="exact"/>
        <w:ind w:firstLine="480" w:firstLineChars="200"/>
        <w:rPr>
          <w:rFonts w:ascii="仿宋" w:hAnsi="仿宋" w:eastAsia="仿宋" w:cs="仿宋"/>
          <w:sz w:val="24"/>
        </w:rPr>
      </w:pPr>
      <w:r>
        <w:rPr>
          <w:rFonts w:hint="eastAsia" w:ascii="仿宋" w:hAnsi="仿宋" w:eastAsia="仿宋" w:cs="仿宋"/>
          <w:sz w:val="24"/>
        </w:rPr>
        <w:t>我方的投标文件在开标后</w:t>
      </w:r>
      <w:r>
        <w:rPr>
          <w:rFonts w:hint="eastAsia" w:ascii="仿宋" w:hAnsi="仿宋" w:eastAsia="仿宋" w:cs="仿宋"/>
          <w:sz w:val="24"/>
          <w:u w:val="single"/>
        </w:rPr>
        <w:t>90</w:t>
      </w:r>
      <w:r>
        <w:rPr>
          <w:rFonts w:hint="eastAsia" w:ascii="仿宋" w:hAnsi="仿宋" w:eastAsia="仿宋" w:cs="仿宋"/>
          <w:sz w:val="24"/>
        </w:rPr>
        <w:t>天内有效。</w:t>
      </w:r>
    </w:p>
    <w:p>
      <w:pPr>
        <w:pStyle w:val="16"/>
        <w:spacing w:line="440" w:lineRule="exact"/>
        <w:ind w:firstLine="480" w:firstLineChars="200"/>
        <w:rPr>
          <w:rFonts w:ascii="仿宋" w:hAnsi="仿宋" w:eastAsia="仿宋" w:cs="仿宋"/>
          <w:sz w:val="24"/>
        </w:rPr>
      </w:pPr>
      <w:r>
        <w:rPr>
          <w:rFonts w:hint="eastAsia" w:ascii="仿宋" w:hAnsi="仿宋" w:eastAsia="仿宋" w:cs="仿宋"/>
          <w:sz w:val="24"/>
        </w:rPr>
        <w:t xml:space="preserve">    与本投标有关的一切往来通讯请寄：</w:t>
      </w:r>
    </w:p>
    <w:p>
      <w:pPr>
        <w:pStyle w:val="16"/>
        <w:spacing w:line="440" w:lineRule="exact"/>
        <w:rPr>
          <w:rFonts w:ascii="仿宋" w:hAnsi="仿宋" w:eastAsia="仿宋" w:cs="仿宋"/>
          <w:sz w:val="24"/>
        </w:rPr>
      </w:pPr>
      <w:r>
        <w:rPr>
          <w:rFonts w:hint="eastAsia" w:ascii="仿宋" w:hAnsi="仿宋" w:eastAsia="仿宋" w:cs="仿宋"/>
          <w:sz w:val="24"/>
        </w:rPr>
        <w:t xml:space="preserve">   地址：______________________________     邮编：____________　</w:t>
      </w:r>
    </w:p>
    <w:p>
      <w:pPr>
        <w:pStyle w:val="16"/>
        <w:spacing w:line="440" w:lineRule="exact"/>
        <w:rPr>
          <w:rFonts w:ascii="仿宋" w:hAnsi="仿宋" w:eastAsia="仿宋" w:cs="仿宋"/>
          <w:sz w:val="24"/>
        </w:rPr>
      </w:pPr>
      <w:r>
        <w:rPr>
          <w:rFonts w:hint="eastAsia" w:ascii="仿宋" w:hAnsi="仿宋" w:eastAsia="仿宋" w:cs="仿宋"/>
          <w:sz w:val="24"/>
        </w:rPr>
        <w:t xml:space="preserve">   电话：____________　                     传真：____________</w:t>
      </w:r>
    </w:p>
    <w:p>
      <w:pPr>
        <w:pStyle w:val="16"/>
        <w:spacing w:line="440" w:lineRule="exact"/>
        <w:ind w:firstLine="480" w:firstLineChars="200"/>
        <w:rPr>
          <w:rFonts w:ascii="仿宋" w:hAnsi="仿宋" w:eastAsia="仿宋" w:cs="仿宋"/>
          <w:sz w:val="24"/>
        </w:rPr>
      </w:pPr>
    </w:p>
    <w:p>
      <w:pPr>
        <w:pStyle w:val="16"/>
        <w:spacing w:line="440" w:lineRule="exact"/>
        <w:ind w:firstLine="480" w:firstLineChars="200"/>
        <w:rPr>
          <w:rFonts w:ascii="仿宋" w:hAnsi="仿宋" w:eastAsia="仿宋" w:cs="仿宋"/>
          <w:sz w:val="24"/>
        </w:rPr>
      </w:pPr>
    </w:p>
    <w:p>
      <w:pPr>
        <w:pStyle w:val="16"/>
        <w:spacing w:line="440" w:lineRule="exact"/>
        <w:ind w:firstLine="480" w:firstLineChars="200"/>
        <w:rPr>
          <w:rFonts w:ascii="仿宋" w:hAnsi="仿宋" w:eastAsia="仿宋" w:cs="仿宋"/>
          <w:sz w:val="24"/>
        </w:rPr>
      </w:pPr>
    </w:p>
    <w:p>
      <w:pPr>
        <w:pStyle w:val="16"/>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16"/>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6"/>
        <w:spacing w:line="440" w:lineRule="exact"/>
        <w:ind w:firstLine="6160" w:firstLineChars="2200"/>
        <w:rPr>
          <w:rFonts w:ascii="仿宋" w:hAnsi="仿宋" w:eastAsia="仿宋" w:cs="仿宋"/>
          <w:sz w:val="24"/>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r>
        <w:rPr>
          <w:rFonts w:hint="eastAsia" w:ascii="仿宋" w:hAnsi="仿宋" w:eastAsia="仿宋" w:cs="仿宋"/>
          <w:sz w:val="24"/>
        </w:rPr>
        <w:t xml:space="preserve">                  </w:t>
      </w:r>
    </w:p>
    <w:p>
      <w:pPr>
        <w:rPr>
          <w:rFonts w:ascii="仿宋" w:hAnsi="仿宋" w:eastAsia="仿宋" w:cs="仿宋"/>
          <w:bCs/>
          <w:szCs w:val="21"/>
        </w:rPr>
      </w:pPr>
    </w:p>
    <w:p>
      <w:pPr>
        <w:rPr>
          <w:rFonts w:ascii="黑体" w:hAnsi="黑体" w:eastAsia="黑体" w:cs="黑体"/>
          <w:sz w:val="24"/>
        </w:rPr>
      </w:pPr>
    </w:p>
    <w:p>
      <w:pPr>
        <w:rPr>
          <w:rFonts w:ascii="黑体" w:hAnsi="黑体" w:eastAsia="黑体" w:cs="黑体"/>
          <w:sz w:val="24"/>
        </w:rPr>
      </w:pPr>
    </w:p>
    <w:p>
      <w:pPr>
        <w:pStyle w:val="16"/>
        <w:spacing w:line="440" w:lineRule="exact"/>
        <w:rPr>
          <w:rFonts w:hint="eastAsia"/>
          <w:lang w:val="en-US" w:eastAsia="zh-CN"/>
        </w:rPr>
      </w:pPr>
    </w:p>
    <w:sectPr>
      <w:footerReference r:id="rId6" w:type="first"/>
      <w:pgSz w:w="11906" w:h="16838"/>
      <w:pgMar w:top="1440" w:right="1133" w:bottom="1276" w:left="993" w:header="851" w:footer="760"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0000000000000000000"/>
    <w:charset w:val="00"/>
    <w:family w:val="swiss"/>
    <w:pitch w:val="default"/>
    <w:sig w:usb0="00000000" w:usb1="00000000" w:usb2="00000000" w:usb3="00000000" w:csb0="0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等线">
    <w:altName w:val="Arial Unicode MS"/>
    <w:panose1 w:val="00000000000000000000"/>
    <w:charset w:val="86"/>
    <w:family w:val="auto"/>
    <w:pitch w:val="default"/>
    <w:sig w:usb0="00000000" w:usb1="00000000" w:usb2="00000016" w:usb3="00000000" w:csb0="0004000F" w:csb1="00000000"/>
  </w:font>
  <w:font w:name="等线 Light">
    <w:altName w:val="Arial Unicode MS"/>
    <w:panose1 w:val="00000000000000000000"/>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Lucida Grande">
    <w:altName w:val="Segoe Print"/>
    <w:panose1 w:val="00000000000000000000"/>
    <w:charset w:val="00"/>
    <w:family w:val="auto"/>
    <w:pitch w:val="default"/>
    <w:sig w:usb0="00000000" w:usb1="00000000" w:usb2="00000000" w:usb3="00000000" w:csb0="000001B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幼圆">
    <w:panose1 w:val="0201050906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Times New Roman Bold">
    <w:altName w:val="Times New Roman"/>
    <w:panose1 w:val="020208030705050203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22</w:t>
                          </w:r>
                          <w:r>
                            <w:rPr>
                              <w:rFonts w:hint="eastAsia"/>
                              <w:sz w:val="18"/>
                            </w:rPr>
                            <w:fldChar w:fldCharType="end"/>
                          </w:r>
                          <w:r>
                            <w:rPr>
                              <w:rFonts w:hint="eastAsia"/>
                              <w:sz w:val="18"/>
                            </w:rPr>
                            <w:t xml:space="preserve"> 页</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0.1pt;height:11.65pt;width:85.35pt;mso-position-horizontal:center;mso-position-horizontal-relative:margin;z-index:251657216;mso-width-relative:page;mso-height-relative:page;" filled="f" stroked="f" coordsize="21600,21600" o:gfxdata="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Cmy8tQAAAAEAQAADwAAAAAAAAABACAAAAAiAAAAZHJzL2Rvd25yZXYueG1sUEsBAhQAFAAA&#10;AAgAh07iQE4b3y7zAQAAtwMAAA4AAAAAAAAAAQAgAAAAIwEAAGRycy9lMm9Eb2MueG1sUEsFBgAA&#10;AAAGAAYAWQEAAIgFAAAAAA==&#10;">
              <v:fill on="f" focussize="0,0"/>
              <v:stroke on="f"/>
              <v:imagedata o:title=""/>
              <o:lock v:ext="edit" aspectratio="f"/>
              <v:textbox inset="0mm,0mm,0mm,0mm">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22</w:t>
                    </w:r>
                    <w:r>
                      <w:rPr>
                        <w:rFonts w:hint="eastAsia"/>
                        <w:sz w:val="18"/>
                      </w:rPr>
                      <w:fldChar w:fldCharType="end"/>
                    </w:r>
                    <w:r>
                      <w:rPr>
                        <w:rFonts w:hint="eastAsia"/>
                        <w:sz w:val="1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22</w:t>
                          </w:r>
                          <w:r>
                            <w:rPr>
                              <w:rFonts w:hint="eastAsia"/>
                              <w:sz w:val="18"/>
                            </w:rPr>
                            <w:fldChar w:fldCharType="end"/>
                          </w:r>
                          <w:r>
                            <w:rPr>
                              <w:rFonts w:hint="eastAsia"/>
                              <w:sz w:val="18"/>
                            </w:rPr>
                            <w:t xml:space="preserve"> 页</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0.1pt;height:11.65pt;width:77.5pt;mso-position-horizontal:center;mso-position-horizontal-relative:margin;z-index:251658240;mso-width-relative:page;mso-height-relative:page;" filled="f" stroked="f" coordsize="21600,21600" o:gfxdata="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U&#10;CuHTAAAABAEAAA8AAAAAAAAAAQAgAAAAIgAAAGRycy9kb3ducmV2LnhtbFBLAQIUABQAAAAIAIdO&#10;4kAS3Vmf7wEAALYDAAAOAAAAAAAAAAEAIAAAACIBAABkcnMvZTJvRG9jLnhtbFBLBQYAAAAABgAG&#10;AFkBAACDBQAAAAA=&#10;">
              <v:fill on="f" focussize="0,0"/>
              <v:stroke on="f"/>
              <v:imagedata o:title=""/>
              <o:lock v:ext="edit" aspectratio="f"/>
              <v:textbox inset="0mm,0mm,0mm,0mm">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22</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left"/>
    </w:pPr>
    <w:r>
      <w:rPr>
        <w:rFonts w:hint="eastAsia"/>
      </w:rPr>
      <w:t>中山大学新华学院2017年</w:t>
    </w:r>
    <w:r>
      <w:rPr>
        <w:rFonts w:hint="eastAsia"/>
        <w:sz w:val="18"/>
        <w:szCs w:val="6"/>
      </w:rPr>
      <w:t>园林.绿化.中药园种值养护服务项目</w:t>
    </w:r>
    <w:r>
      <w:rPr>
        <w:rFonts w:hint="eastAsia"/>
      </w:rPr>
      <w:t xml:space="preserve">招标    </w:t>
    </w:r>
    <w:r>
      <w:rPr>
        <w:rFonts w:hint="eastAsia"/>
        <w:lang w:val="en-US" w:eastAsia="zh-CN"/>
      </w:rPr>
      <w:t xml:space="preserve">                  </w:t>
    </w:r>
    <w:r>
      <w:rPr>
        <w:rFonts w:hint="eastAsia"/>
      </w:rPr>
      <w:t>项目编号：ZDXHAf20170200</w:t>
    </w:r>
    <w:r>
      <w:rPr>
        <w:rFonts w:hint="eastAsia"/>
        <w:lang w:val="en-US" w:eastAsia="zh-CN"/>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left"/>
    </w:pPr>
    <w:r>
      <w:rPr>
        <w:rFonts w:hint="eastAsia"/>
      </w:rPr>
      <w:t>中山大学新华学院2017年</w:t>
    </w:r>
    <w:r>
      <w:rPr>
        <w:rFonts w:hint="eastAsia"/>
        <w:sz w:val="18"/>
        <w:szCs w:val="6"/>
      </w:rPr>
      <w:t>园林.绿化.中药园种值养护服务项目</w:t>
    </w:r>
    <w:r>
      <w:rPr>
        <w:rFonts w:hint="eastAsia"/>
      </w:rPr>
      <w:t xml:space="preserve">招标       </w:t>
    </w:r>
    <w:r>
      <w:rPr>
        <w:rFonts w:hint="eastAsia"/>
        <w:lang w:val="en-US" w:eastAsia="zh-CN"/>
      </w:rPr>
      <w:t xml:space="preserve">                 </w:t>
    </w:r>
    <w:r>
      <w:rPr>
        <w:rFonts w:hint="eastAsia"/>
      </w:rPr>
      <w:t>项目编号：ZDXHAf20170200</w:t>
    </w:r>
    <w:r>
      <w:rPr>
        <w:rFonts w:hint="eastAsia"/>
        <w:lang w:val="en-US" w:eastAsia="zh-CN"/>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tentative="0">
      <w:start w:val="2"/>
      <w:numFmt w:val="decimal"/>
      <w:pStyle w:val="35"/>
      <w:suff w:val="space"/>
      <w:lvlText w:val="%1."/>
      <w:lvlJc w:val="left"/>
    </w:lvl>
  </w:abstractNum>
  <w:abstractNum w:abstractNumId="2">
    <w:nsid w:val="00000005"/>
    <w:multiLevelType w:val="singleLevel"/>
    <w:tmpl w:val="00000005"/>
    <w:lvl w:ilvl="0" w:tentative="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tentative="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tentative="0">
      <w:start w:val="5"/>
      <w:numFmt w:val="chineseCounting"/>
      <w:suff w:val="nothing"/>
      <w:lvlText w:val="（%1）"/>
      <w:lvlJc w:val="left"/>
    </w:lvl>
  </w:abstractNum>
  <w:abstractNum w:abstractNumId="6">
    <w:nsid w:val="0000000B"/>
    <w:multiLevelType w:val="singleLevel"/>
    <w:tmpl w:val="0000000B"/>
    <w:lvl w:ilvl="0" w:tentative="0">
      <w:start w:val="1"/>
      <w:numFmt w:val="decimal"/>
      <w:suff w:val="nothing"/>
      <w:lvlText w:val="%1．"/>
      <w:lvlJc w:val="left"/>
      <w:pPr>
        <w:ind w:left="0" w:firstLine="400"/>
      </w:pPr>
      <w:rPr>
        <w:rFonts w:hint="default"/>
      </w:rPr>
    </w:lvl>
  </w:abstractNum>
  <w:abstractNum w:abstractNumId="7">
    <w:nsid w:val="00000011"/>
    <w:multiLevelType w:val="singleLevel"/>
    <w:tmpl w:val="00000011"/>
    <w:lvl w:ilvl="0" w:tentative="0">
      <w:start w:val="1"/>
      <w:numFmt w:val="chineseCounting"/>
      <w:suff w:val="nothing"/>
      <w:lvlText w:val="（%1）"/>
      <w:lvlJc w:val="left"/>
      <w:pPr>
        <w:ind w:left="0" w:firstLine="420"/>
      </w:pPr>
      <w:rPr>
        <w:rFonts w:hint="eastAsia"/>
      </w:rPr>
    </w:lvl>
  </w:abstractNum>
  <w:abstractNum w:abstractNumId="8">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9">
    <w:nsid w:val="0E68667A"/>
    <w:multiLevelType w:val="multilevel"/>
    <w:tmpl w:val="0E68667A"/>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8"/>
  </w:num>
  <w:num w:numId="3">
    <w:abstractNumId w:val="5"/>
  </w:num>
  <w:num w:numId="4">
    <w:abstractNumId w:val="7"/>
  </w:num>
  <w:num w:numId="5">
    <w:abstractNumId w:val="3"/>
  </w:num>
  <w:num w:numId="6">
    <w:abstractNumId w:val="6"/>
  </w:num>
  <w:num w:numId="7">
    <w:abstractNumId w:val="0"/>
  </w:num>
  <w:num w:numId="8">
    <w:abstractNumId w:val="4"/>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07665"/>
    <w:rsid w:val="0001125F"/>
    <w:rsid w:val="00020DE3"/>
    <w:rsid w:val="00025E0D"/>
    <w:rsid w:val="00031C7E"/>
    <w:rsid w:val="0003530E"/>
    <w:rsid w:val="0004066F"/>
    <w:rsid w:val="00046FE4"/>
    <w:rsid w:val="00050775"/>
    <w:rsid w:val="00063730"/>
    <w:rsid w:val="00065100"/>
    <w:rsid w:val="000661C8"/>
    <w:rsid w:val="00066F4F"/>
    <w:rsid w:val="00070B52"/>
    <w:rsid w:val="000717EF"/>
    <w:rsid w:val="0008364D"/>
    <w:rsid w:val="00090522"/>
    <w:rsid w:val="00090E40"/>
    <w:rsid w:val="00093460"/>
    <w:rsid w:val="0009698E"/>
    <w:rsid w:val="000A2C48"/>
    <w:rsid w:val="000B1C3D"/>
    <w:rsid w:val="000B5FE3"/>
    <w:rsid w:val="000C0608"/>
    <w:rsid w:val="000C728A"/>
    <w:rsid w:val="000D1F61"/>
    <w:rsid w:val="00123417"/>
    <w:rsid w:val="00123536"/>
    <w:rsid w:val="001257CE"/>
    <w:rsid w:val="00125A89"/>
    <w:rsid w:val="00125C57"/>
    <w:rsid w:val="00126281"/>
    <w:rsid w:val="00136356"/>
    <w:rsid w:val="001509F3"/>
    <w:rsid w:val="0015783D"/>
    <w:rsid w:val="001607B4"/>
    <w:rsid w:val="001669C0"/>
    <w:rsid w:val="00166D0E"/>
    <w:rsid w:val="00171052"/>
    <w:rsid w:val="001710AF"/>
    <w:rsid w:val="00184CDF"/>
    <w:rsid w:val="00196DA3"/>
    <w:rsid w:val="001B5D7A"/>
    <w:rsid w:val="001D0F37"/>
    <w:rsid w:val="001D253C"/>
    <w:rsid w:val="001E64FD"/>
    <w:rsid w:val="001E7F93"/>
    <w:rsid w:val="001F1E12"/>
    <w:rsid w:val="001F47DF"/>
    <w:rsid w:val="00201F4B"/>
    <w:rsid w:val="002077FA"/>
    <w:rsid w:val="00247528"/>
    <w:rsid w:val="00250837"/>
    <w:rsid w:val="0025705C"/>
    <w:rsid w:val="0026054C"/>
    <w:rsid w:val="00264E33"/>
    <w:rsid w:val="002818B6"/>
    <w:rsid w:val="00284CE0"/>
    <w:rsid w:val="002A0288"/>
    <w:rsid w:val="002C01E1"/>
    <w:rsid w:val="002C4841"/>
    <w:rsid w:val="002C5CD4"/>
    <w:rsid w:val="002D631F"/>
    <w:rsid w:val="002E3F98"/>
    <w:rsid w:val="00300865"/>
    <w:rsid w:val="00305780"/>
    <w:rsid w:val="00305F4A"/>
    <w:rsid w:val="003252C5"/>
    <w:rsid w:val="00325926"/>
    <w:rsid w:val="00331925"/>
    <w:rsid w:val="003425CE"/>
    <w:rsid w:val="00342D21"/>
    <w:rsid w:val="00351970"/>
    <w:rsid w:val="00365A86"/>
    <w:rsid w:val="0036638D"/>
    <w:rsid w:val="003773F9"/>
    <w:rsid w:val="00377D32"/>
    <w:rsid w:val="003832DE"/>
    <w:rsid w:val="003870FC"/>
    <w:rsid w:val="00390EED"/>
    <w:rsid w:val="003A2500"/>
    <w:rsid w:val="003B39AF"/>
    <w:rsid w:val="003B5BEA"/>
    <w:rsid w:val="003B7296"/>
    <w:rsid w:val="003C28BC"/>
    <w:rsid w:val="003D6EE4"/>
    <w:rsid w:val="003E7F0F"/>
    <w:rsid w:val="003F1C52"/>
    <w:rsid w:val="00414A7A"/>
    <w:rsid w:val="00422684"/>
    <w:rsid w:val="004253A7"/>
    <w:rsid w:val="00425ED0"/>
    <w:rsid w:val="00431970"/>
    <w:rsid w:val="004338C5"/>
    <w:rsid w:val="0044592E"/>
    <w:rsid w:val="0045085C"/>
    <w:rsid w:val="00450A38"/>
    <w:rsid w:val="00457F8B"/>
    <w:rsid w:val="00464F3F"/>
    <w:rsid w:val="00480C29"/>
    <w:rsid w:val="00491A1E"/>
    <w:rsid w:val="004A3E7E"/>
    <w:rsid w:val="004A6167"/>
    <w:rsid w:val="004B2DE8"/>
    <w:rsid w:val="004B3176"/>
    <w:rsid w:val="004B7746"/>
    <w:rsid w:val="004D300C"/>
    <w:rsid w:val="004F427F"/>
    <w:rsid w:val="004F5429"/>
    <w:rsid w:val="0051470C"/>
    <w:rsid w:val="005164CB"/>
    <w:rsid w:val="005209E8"/>
    <w:rsid w:val="005329FE"/>
    <w:rsid w:val="0053729C"/>
    <w:rsid w:val="0056120E"/>
    <w:rsid w:val="00563DF7"/>
    <w:rsid w:val="005712DC"/>
    <w:rsid w:val="005744C2"/>
    <w:rsid w:val="00581DBC"/>
    <w:rsid w:val="0058325D"/>
    <w:rsid w:val="005900E5"/>
    <w:rsid w:val="005A6F28"/>
    <w:rsid w:val="005B10B8"/>
    <w:rsid w:val="005B2BA3"/>
    <w:rsid w:val="005B41A0"/>
    <w:rsid w:val="005D5C70"/>
    <w:rsid w:val="005E593D"/>
    <w:rsid w:val="005F5568"/>
    <w:rsid w:val="00603005"/>
    <w:rsid w:val="0060371D"/>
    <w:rsid w:val="00605E18"/>
    <w:rsid w:val="00605F06"/>
    <w:rsid w:val="006240EC"/>
    <w:rsid w:val="0063561C"/>
    <w:rsid w:val="00641BCE"/>
    <w:rsid w:val="006452B4"/>
    <w:rsid w:val="006639B7"/>
    <w:rsid w:val="00663DE3"/>
    <w:rsid w:val="0066404C"/>
    <w:rsid w:val="00673934"/>
    <w:rsid w:val="0068058F"/>
    <w:rsid w:val="00683689"/>
    <w:rsid w:val="006850B0"/>
    <w:rsid w:val="00690697"/>
    <w:rsid w:val="00692253"/>
    <w:rsid w:val="00692EA0"/>
    <w:rsid w:val="006B708C"/>
    <w:rsid w:val="006C09FE"/>
    <w:rsid w:val="006C36A2"/>
    <w:rsid w:val="006C6DDB"/>
    <w:rsid w:val="006D72D7"/>
    <w:rsid w:val="006F1347"/>
    <w:rsid w:val="006F2A38"/>
    <w:rsid w:val="006F5436"/>
    <w:rsid w:val="007146AE"/>
    <w:rsid w:val="00731AD5"/>
    <w:rsid w:val="00742D1D"/>
    <w:rsid w:val="0074446F"/>
    <w:rsid w:val="00746FFA"/>
    <w:rsid w:val="00761CB2"/>
    <w:rsid w:val="00765EF5"/>
    <w:rsid w:val="00770448"/>
    <w:rsid w:val="00774136"/>
    <w:rsid w:val="00776176"/>
    <w:rsid w:val="0078108E"/>
    <w:rsid w:val="00794BC8"/>
    <w:rsid w:val="007A37E5"/>
    <w:rsid w:val="007A5C82"/>
    <w:rsid w:val="007B01EC"/>
    <w:rsid w:val="007C1659"/>
    <w:rsid w:val="007C35CB"/>
    <w:rsid w:val="007D250D"/>
    <w:rsid w:val="007D7E86"/>
    <w:rsid w:val="007E1CEF"/>
    <w:rsid w:val="007E2B3E"/>
    <w:rsid w:val="007E52F7"/>
    <w:rsid w:val="007F4A5F"/>
    <w:rsid w:val="008001B5"/>
    <w:rsid w:val="0081578B"/>
    <w:rsid w:val="00821FDA"/>
    <w:rsid w:val="008233EE"/>
    <w:rsid w:val="00824934"/>
    <w:rsid w:val="00827950"/>
    <w:rsid w:val="0083786E"/>
    <w:rsid w:val="008540DA"/>
    <w:rsid w:val="00856523"/>
    <w:rsid w:val="00876A31"/>
    <w:rsid w:val="008A13B2"/>
    <w:rsid w:val="008A3FEC"/>
    <w:rsid w:val="008A5378"/>
    <w:rsid w:val="008D0C75"/>
    <w:rsid w:val="008D508F"/>
    <w:rsid w:val="008E01EF"/>
    <w:rsid w:val="008E5379"/>
    <w:rsid w:val="008F5FD0"/>
    <w:rsid w:val="00907E14"/>
    <w:rsid w:val="009103AD"/>
    <w:rsid w:val="00916E66"/>
    <w:rsid w:val="00917ECA"/>
    <w:rsid w:val="00931111"/>
    <w:rsid w:val="009315CA"/>
    <w:rsid w:val="00935797"/>
    <w:rsid w:val="0093676A"/>
    <w:rsid w:val="00940617"/>
    <w:rsid w:val="00941D89"/>
    <w:rsid w:val="0094302F"/>
    <w:rsid w:val="00952B4E"/>
    <w:rsid w:val="00963DC5"/>
    <w:rsid w:val="009673E7"/>
    <w:rsid w:val="00974D25"/>
    <w:rsid w:val="009777EE"/>
    <w:rsid w:val="00980782"/>
    <w:rsid w:val="00986125"/>
    <w:rsid w:val="009B0164"/>
    <w:rsid w:val="009B63B4"/>
    <w:rsid w:val="009C1CC0"/>
    <w:rsid w:val="009D5C22"/>
    <w:rsid w:val="009D5C8B"/>
    <w:rsid w:val="009E0171"/>
    <w:rsid w:val="009E09ED"/>
    <w:rsid w:val="009E2761"/>
    <w:rsid w:val="009F6CF8"/>
    <w:rsid w:val="00A05233"/>
    <w:rsid w:val="00A13B78"/>
    <w:rsid w:val="00A17F0D"/>
    <w:rsid w:val="00A416E2"/>
    <w:rsid w:val="00A53372"/>
    <w:rsid w:val="00A61714"/>
    <w:rsid w:val="00A670D5"/>
    <w:rsid w:val="00A82EE4"/>
    <w:rsid w:val="00A92484"/>
    <w:rsid w:val="00AA0B06"/>
    <w:rsid w:val="00AD483F"/>
    <w:rsid w:val="00AD6720"/>
    <w:rsid w:val="00B11BBD"/>
    <w:rsid w:val="00B11F4C"/>
    <w:rsid w:val="00B20029"/>
    <w:rsid w:val="00B22D21"/>
    <w:rsid w:val="00B3516B"/>
    <w:rsid w:val="00B448DE"/>
    <w:rsid w:val="00B44C89"/>
    <w:rsid w:val="00B46C08"/>
    <w:rsid w:val="00B651A6"/>
    <w:rsid w:val="00B6627F"/>
    <w:rsid w:val="00B672F9"/>
    <w:rsid w:val="00B71131"/>
    <w:rsid w:val="00B73B85"/>
    <w:rsid w:val="00B81D67"/>
    <w:rsid w:val="00B96CA4"/>
    <w:rsid w:val="00BA5EA3"/>
    <w:rsid w:val="00BB64A0"/>
    <w:rsid w:val="00BB7883"/>
    <w:rsid w:val="00BC7B66"/>
    <w:rsid w:val="00BD022F"/>
    <w:rsid w:val="00BD2BD5"/>
    <w:rsid w:val="00BD553E"/>
    <w:rsid w:val="00BE3703"/>
    <w:rsid w:val="00BF0EF5"/>
    <w:rsid w:val="00C1380F"/>
    <w:rsid w:val="00C14F04"/>
    <w:rsid w:val="00C25037"/>
    <w:rsid w:val="00C56C91"/>
    <w:rsid w:val="00C605D6"/>
    <w:rsid w:val="00C629AB"/>
    <w:rsid w:val="00C62AC5"/>
    <w:rsid w:val="00C704AD"/>
    <w:rsid w:val="00C87E10"/>
    <w:rsid w:val="00C90EC6"/>
    <w:rsid w:val="00CA053E"/>
    <w:rsid w:val="00CA2377"/>
    <w:rsid w:val="00CA2A81"/>
    <w:rsid w:val="00CA5448"/>
    <w:rsid w:val="00CB7BFA"/>
    <w:rsid w:val="00CC4D96"/>
    <w:rsid w:val="00CC62CE"/>
    <w:rsid w:val="00CD480D"/>
    <w:rsid w:val="00CD6A87"/>
    <w:rsid w:val="00CE0FAF"/>
    <w:rsid w:val="00CE334C"/>
    <w:rsid w:val="00CE472D"/>
    <w:rsid w:val="00CE6031"/>
    <w:rsid w:val="00D06016"/>
    <w:rsid w:val="00D365B5"/>
    <w:rsid w:val="00D437FB"/>
    <w:rsid w:val="00D43F37"/>
    <w:rsid w:val="00D5228E"/>
    <w:rsid w:val="00D72A81"/>
    <w:rsid w:val="00D77276"/>
    <w:rsid w:val="00D77A27"/>
    <w:rsid w:val="00D8110D"/>
    <w:rsid w:val="00D83E92"/>
    <w:rsid w:val="00DA4D38"/>
    <w:rsid w:val="00DD383D"/>
    <w:rsid w:val="00DD756B"/>
    <w:rsid w:val="00DE00D8"/>
    <w:rsid w:val="00DE15DB"/>
    <w:rsid w:val="00DE722D"/>
    <w:rsid w:val="00E01B8E"/>
    <w:rsid w:val="00E02BCC"/>
    <w:rsid w:val="00E22FB3"/>
    <w:rsid w:val="00E23E9B"/>
    <w:rsid w:val="00E545BE"/>
    <w:rsid w:val="00E54D9B"/>
    <w:rsid w:val="00E6082D"/>
    <w:rsid w:val="00E71DE3"/>
    <w:rsid w:val="00E73633"/>
    <w:rsid w:val="00E75E8A"/>
    <w:rsid w:val="00E80E86"/>
    <w:rsid w:val="00E84759"/>
    <w:rsid w:val="00E95570"/>
    <w:rsid w:val="00EA5082"/>
    <w:rsid w:val="00EC14CD"/>
    <w:rsid w:val="00EC5EBD"/>
    <w:rsid w:val="00EC7A6A"/>
    <w:rsid w:val="00ED2E4D"/>
    <w:rsid w:val="00EF3A8C"/>
    <w:rsid w:val="00EF4A72"/>
    <w:rsid w:val="00F06DE0"/>
    <w:rsid w:val="00F079FB"/>
    <w:rsid w:val="00F13AC7"/>
    <w:rsid w:val="00F23CD5"/>
    <w:rsid w:val="00F277DC"/>
    <w:rsid w:val="00F31893"/>
    <w:rsid w:val="00F42AC6"/>
    <w:rsid w:val="00F53812"/>
    <w:rsid w:val="00F6533C"/>
    <w:rsid w:val="00F740C7"/>
    <w:rsid w:val="00F760E7"/>
    <w:rsid w:val="00FA0DCB"/>
    <w:rsid w:val="00FA397E"/>
    <w:rsid w:val="00FE0E37"/>
    <w:rsid w:val="00FE4E5F"/>
    <w:rsid w:val="00FF1570"/>
    <w:rsid w:val="00FF16F7"/>
    <w:rsid w:val="00FF208F"/>
    <w:rsid w:val="00FF7F36"/>
    <w:rsid w:val="01AE52D7"/>
    <w:rsid w:val="01E26F54"/>
    <w:rsid w:val="03921826"/>
    <w:rsid w:val="03EE0DB9"/>
    <w:rsid w:val="04C07895"/>
    <w:rsid w:val="056574E8"/>
    <w:rsid w:val="078B3FA5"/>
    <w:rsid w:val="09666302"/>
    <w:rsid w:val="09D5756A"/>
    <w:rsid w:val="0B1C2C4E"/>
    <w:rsid w:val="0B94281C"/>
    <w:rsid w:val="0B9E0B42"/>
    <w:rsid w:val="0C55096B"/>
    <w:rsid w:val="0CB64478"/>
    <w:rsid w:val="0DD30748"/>
    <w:rsid w:val="0E8D4C12"/>
    <w:rsid w:val="0F642A91"/>
    <w:rsid w:val="0F803FF3"/>
    <w:rsid w:val="101E45E3"/>
    <w:rsid w:val="10471E01"/>
    <w:rsid w:val="1123099D"/>
    <w:rsid w:val="11906152"/>
    <w:rsid w:val="11DA5DBC"/>
    <w:rsid w:val="123306F5"/>
    <w:rsid w:val="12967971"/>
    <w:rsid w:val="12E665F0"/>
    <w:rsid w:val="12EB5ACA"/>
    <w:rsid w:val="12EC20B9"/>
    <w:rsid w:val="13FE3EA2"/>
    <w:rsid w:val="14BF50E8"/>
    <w:rsid w:val="15062202"/>
    <w:rsid w:val="156F3D2F"/>
    <w:rsid w:val="168C4DD8"/>
    <w:rsid w:val="1786609C"/>
    <w:rsid w:val="18C933CE"/>
    <w:rsid w:val="19046183"/>
    <w:rsid w:val="19190013"/>
    <w:rsid w:val="195E5CEA"/>
    <w:rsid w:val="199E3846"/>
    <w:rsid w:val="1ADB479C"/>
    <w:rsid w:val="1AE21939"/>
    <w:rsid w:val="1B6A620B"/>
    <w:rsid w:val="1BF62F3E"/>
    <w:rsid w:val="1BF66408"/>
    <w:rsid w:val="1CAD6EAA"/>
    <w:rsid w:val="1CEB2C95"/>
    <w:rsid w:val="1D720572"/>
    <w:rsid w:val="1F787924"/>
    <w:rsid w:val="1FE62D7D"/>
    <w:rsid w:val="1FF2495F"/>
    <w:rsid w:val="20144ED1"/>
    <w:rsid w:val="206553A0"/>
    <w:rsid w:val="2185240A"/>
    <w:rsid w:val="21AC4DF0"/>
    <w:rsid w:val="21B117B5"/>
    <w:rsid w:val="21B12413"/>
    <w:rsid w:val="22B32A71"/>
    <w:rsid w:val="22DF4017"/>
    <w:rsid w:val="22EB4A66"/>
    <w:rsid w:val="22FC52A3"/>
    <w:rsid w:val="236028E7"/>
    <w:rsid w:val="23A07EAD"/>
    <w:rsid w:val="23C14C83"/>
    <w:rsid w:val="23ED5E56"/>
    <w:rsid w:val="24CA4044"/>
    <w:rsid w:val="25ED3FA2"/>
    <w:rsid w:val="26FC3A32"/>
    <w:rsid w:val="27302AC5"/>
    <w:rsid w:val="277D55C1"/>
    <w:rsid w:val="27B57C5A"/>
    <w:rsid w:val="289D0A46"/>
    <w:rsid w:val="28A06BA0"/>
    <w:rsid w:val="28D2496A"/>
    <w:rsid w:val="297A62D3"/>
    <w:rsid w:val="2A0932A1"/>
    <w:rsid w:val="2B082BD8"/>
    <w:rsid w:val="2BC12E1F"/>
    <w:rsid w:val="2BCA6808"/>
    <w:rsid w:val="2D2A6E98"/>
    <w:rsid w:val="2DE22A3E"/>
    <w:rsid w:val="2ECF504E"/>
    <w:rsid w:val="2F176056"/>
    <w:rsid w:val="2F224EB8"/>
    <w:rsid w:val="2F26344C"/>
    <w:rsid w:val="2F5D2EAE"/>
    <w:rsid w:val="2FB04EF2"/>
    <w:rsid w:val="301D5098"/>
    <w:rsid w:val="31BF5246"/>
    <w:rsid w:val="31F03981"/>
    <w:rsid w:val="32A80FD5"/>
    <w:rsid w:val="3343770E"/>
    <w:rsid w:val="338240E5"/>
    <w:rsid w:val="33D25CCC"/>
    <w:rsid w:val="33E3030F"/>
    <w:rsid w:val="34462724"/>
    <w:rsid w:val="34B43DA2"/>
    <w:rsid w:val="34BA7826"/>
    <w:rsid w:val="35352CF5"/>
    <w:rsid w:val="36202600"/>
    <w:rsid w:val="37416F54"/>
    <w:rsid w:val="38252761"/>
    <w:rsid w:val="38D469C6"/>
    <w:rsid w:val="39CA3A29"/>
    <w:rsid w:val="39D96273"/>
    <w:rsid w:val="3B364B3E"/>
    <w:rsid w:val="3B8C613D"/>
    <w:rsid w:val="3BBA7926"/>
    <w:rsid w:val="3C1B3F21"/>
    <w:rsid w:val="3C7E72F7"/>
    <w:rsid w:val="3DF340DD"/>
    <w:rsid w:val="3E5E0BE0"/>
    <w:rsid w:val="3F5573A6"/>
    <w:rsid w:val="3F5E5AC4"/>
    <w:rsid w:val="3F8E3C87"/>
    <w:rsid w:val="3FD96AAE"/>
    <w:rsid w:val="411E1797"/>
    <w:rsid w:val="414B5003"/>
    <w:rsid w:val="41512105"/>
    <w:rsid w:val="41D54BC2"/>
    <w:rsid w:val="41E31DBF"/>
    <w:rsid w:val="4330645B"/>
    <w:rsid w:val="45453A3B"/>
    <w:rsid w:val="45E334FD"/>
    <w:rsid w:val="468F612C"/>
    <w:rsid w:val="474E7557"/>
    <w:rsid w:val="484962D4"/>
    <w:rsid w:val="48AD3C44"/>
    <w:rsid w:val="490A0B22"/>
    <w:rsid w:val="4A737041"/>
    <w:rsid w:val="4A977DE8"/>
    <w:rsid w:val="4B1E4D3E"/>
    <w:rsid w:val="4B8768F7"/>
    <w:rsid w:val="4C182E25"/>
    <w:rsid w:val="4C1E4478"/>
    <w:rsid w:val="4C83798D"/>
    <w:rsid w:val="4D417C2A"/>
    <w:rsid w:val="4DB1624D"/>
    <w:rsid w:val="4DFA3403"/>
    <w:rsid w:val="4E0453A1"/>
    <w:rsid w:val="4E4948A2"/>
    <w:rsid w:val="4E4B78B9"/>
    <w:rsid w:val="4E4E5FAE"/>
    <w:rsid w:val="4E7330DF"/>
    <w:rsid w:val="4F3A131A"/>
    <w:rsid w:val="4FE45100"/>
    <w:rsid w:val="4FE71F45"/>
    <w:rsid w:val="514F5ECE"/>
    <w:rsid w:val="51510B29"/>
    <w:rsid w:val="51A016E3"/>
    <w:rsid w:val="51E0580E"/>
    <w:rsid w:val="51F50C9C"/>
    <w:rsid w:val="534E4F16"/>
    <w:rsid w:val="53900DED"/>
    <w:rsid w:val="53E62076"/>
    <w:rsid w:val="543A574D"/>
    <w:rsid w:val="54A3746A"/>
    <w:rsid w:val="54CD5518"/>
    <w:rsid w:val="54F440F2"/>
    <w:rsid w:val="55331CC7"/>
    <w:rsid w:val="560F7C40"/>
    <w:rsid w:val="57EC24C8"/>
    <w:rsid w:val="58F05130"/>
    <w:rsid w:val="59005C12"/>
    <w:rsid w:val="592A4776"/>
    <w:rsid w:val="59621833"/>
    <w:rsid w:val="5A1565EE"/>
    <w:rsid w:val="5A7358A4"/>
    <w:rsid w:val="5AA95F5F"/>
    <w:rsid w:val="5ABB4930"/>
    <w:rsid w:val="5AC07759"/>
    <w:rsid w:val="5B207A1B"/>
    <w:rsid w:val="5B7F38BD"/>
    <w:rsid w:val="5BD04DC1"/>
    <w:rsid w:val="5BE84392"/>
    <w:rsid w:val="5C217D50"/>
    <w:rsid w:val="5CE04874"/>
    <w:rsid w:val="5D79350C"/>
    <w:rsid w:val="5D9B6515"/>
    <w:rsid w:val="5E8231F6"/>
    <w:rsid w:val="5F133DFA"/>
    <w:rsid w:val="5F930D2D"/>
    <w:rsid w:val="5FED63CC"/>
    <w:rsid w:val="60F073BB"/>
    <w:rsid w:val="610852E6"/>
    <w:rsid w:val="62675307"/>
    <w:rsid w:val="628F3A73"/>
    <w:rsid w:val="62ED69B3"/>
    <w:rsid w:val="64002ED4"/>
    <w:rsid w:val="64B57C40"/>
    <w:rsid w:val="64BB7683"/>
    <w:rsid w:val="64D74890"/>
    <w:rsid w:val="65145044"/>
    <w:rsid w:val="65A36461"/>
    <w:rsid w:val="65EB0BEC"/>
    <w:rsid w:val="66967A3D"/>
    <w:rsid w:val="66BE106A"/>
    <w:rsid w:val="672671CA"/>
    <w:rsid w:val="672854A7"/>
    <w:rsid w:val="685D14EB"/>
    <w:rsid w:val="69062173"/>
    <w:rsid w:val="69D6293A"/>
    <w:rsid w:val="6A4046C1"/>
    <w:rsid w:val="6B085302"/>
    <w:rsid w:val="6B7F6F82"/>
    <w:rsid w:val="6C432A80"/>
    <w:rsid w:val="6C4F66B2"/>
    <w:rsid w:val="6CAD7A6C"/>
    <w:rsid w:val="6CE475A5"/>
    <w:rsid w:val="6CEF193F"/>
    <w:rsid w:val="6E773240"/>
    <w:rsid w:val="6F334ACA"/>
    <w:rsid w:val="6F3F0173"/>
    <w:rsid w:val="6F5C6C36"/>
    <w:rsid w:val="6FC05169"/>
    <w:rsid w:val="6FF20715"/>
    <w:rsid w:val="71F54FBE"/>
    <w:rsid w:val="72393F54"/>
    <w:rsid w:val="723954E2"/>
    <w:rsid w:val="726268A4"/>
    <w:rsid w:val="72E949CE"/>
    <w:rsid w:val="73086005"/>
    <w:rsid w:val="7346377A"/>
    <w:rsid w:val="73B4561D"/>
    <w:rsid w:val="73CF0FA2"/>
    <w:rsid w:val="73D30FAF"/>
    <w:rsid w:val="745B0480"/>
    <w:rsid w:val="74A813FE"/>
    <w:rsid w:val="75DB3A97"/>
    <w:rsid w:val="77046D6F"/>
    <w:rsid w:val="77063BC3"/>
    <w:rsid w:val="77997490"/>
    <w:rsid w:val="77E615DC"/>
    <w:rsid w:val="77FC5D9D"/>
    <w:rsid w:val="79202F16"/>
    <w:rsid w:val="793D1490"/>
    <w:rsid w:val="7A3D43DB"/>
    <w:rsid w:val="7AED6D54"/>
    <w:rsid w:val="7B89540C"/>
    <w:rsid w:val="7D0D411D"/>
    <w:rsid w:val="7D21797E"/>
    <w:rsid w:val="7D937C78"/>
    <w:rsid w:val="7DFA5397"/>
    <w:rsid w:val="7E2217C1"/>
    <w:rsid w:val="7E9427FF"/>
    <w:rsid w:val="7EB953EA"/>
    <w:rsid w:val="7EB9729A"/>
    <w:rsid w:val="7FB22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9"/>
    <w:qFormat/>
    <w:uiPriority w:val="0"/>
    <w:pPr>
      <w:keepNext/>
      <w:keepLines/>
      <w:spacing w:before="260" w:after="260" w:line="416" w:lineRule="auto"/>
      <w:ind w:left="720" w:hanging="720"/>
      <w:outlineLvl w:val="2"/>
    </w:pPr>
    <w:rPr>
      <w:b/>
      <w:bCs/>
      <w:sz w:val="32"/>
      <w:szCs w:val="32"/>
    </w:rPr>
  </w:style>
  <w:style w:type="paragraph" w:styleId="6">
    <w:name w:val="heading 4"/>
    <w:basedOn w:val="1"/>
    <w:next w:val="1"/>
    <w:link w:val="40"/>
    <w:qFormat/>
    <w:uiPriority w:val="0"/>
    <w:pPr>
      <w:keepNext/>
      <w:keepLines/>
      <w:spacing w:before="280" w:after="290" w:line="376" w:lineRule="auto"/>
      <w:ind w:left="864" w:hanging="864"/>
      <w:outlineLvl w:val="3"/>
    </w:pPr>
    <w:rPr>
      <w:rFonts w:ascii="Cambria" w:hAnsi="Cambria"/>
      <w:b/>
      <w:bCs/>
      <w:sz w:val="28"/>
      <w:szCs w:val="28"/>
    </w:rPr>
  </w:style>
  <w:style w:type="paragraph" w:styleId="7">
    <w:name w:val="heading 5"/>
    <w:basedOn w:val="1"/>
    <w:next w:val="1"/>
    <w:link w:val="41"/>
    <w:qFormat/>
    <w:uiPriority w:val="0"/>
    <w:pPr>
      <w:keepNext/>
      <w:keepLines/>
      <w:spacing w:before="280" w:after="290" w:line="376" w:lineRule="auto"/>
      <w:ind w:left="1008" w:hanging="1008"/>
      <w:outlineLvl w:val="4"/>
    </w:pPr>
    <w:rPr>
      <w:b/>
      <w:bCs/>
      <w:sz w:val="28"/>
      <w:szCs w:val="28"/>
    </w:rPr>
  </w:style>
  <w:style w:type="paragraph" w:styleId="8">
    <w:name w:val="heading 6"/>
    <w:basedOn w:val="1"/>
    <w:next w:val="1"/>
    <w:link w:val="42"/>
    <w:qFormat/>
    <w:uiPriority w:val="0"/>
    <w:pPr>
      <w:keepNext/>
      <w:keepLines/>
      <w:spacing w:before="240" w:after="64" w:line="320" w:lineRule="auto"/>
      <w:ind w:left="1152" w:hanging="1152"/>
      <w:outlineLvl w:val="5"/>
    </w:pPr>
    <w:rPr>
      <w:rFonts w:ascii="Cambria" w:hAnsi="Cambria"/>
      <w:b/>
      <w:bCs/>
      <w:sz w:val="24"/>
    </w:rPr>
  </w:style>
  <w:style w:type="paragraph" w:styleId="9">
    <w:name w:val="heading 7"/>
    <w:basedOn w:val="1"/>
    <w:next w:val="1"/>
    <w:link w:val="43"/>
    <w:qFormat/>
    <w:uiPriority w:val="0"/>
    <w:pPr>
      <w:keepNext/>
      <w:keepLines/>
      <w:spacing w:before="240" w:after="64" w:line="320" w:lineRule="auto"/>
      <w:ind w:left="1296" w:hanging="1296"/>
      <w:outlineLvl w:val="6"/>
    </w:pPr>
    <w:rPr>
      <w:b/>
      <w:bCs/>
      <w:sz w:val="24"/>
    </w:rPr>
  </w:style>
  <w:style w:type="paragraph" w:styleId="10">
    <w:name w:val="heading 8"/>
    <w:basedOn w:val="1"/>
    <w:next w:val="1"/>
    <w:link w:val="44"/>
    <w:qFormat/>
    <w:uiPriority w:val="0"/>
    <w:pPr>
      <w:keepNext/>
      <w:keepLines/>
      <w:spacing w:before="240" w:after="64" w:line="320" w:lineRule="auto"/>
      <w:ind w:left="1440" w:hanging="1440"/>
      <w:outlineLvl w:val="7"/>
    </w:pPr>
    <w:rPr>
      <w:rFonts w:ascii="Cambria" w:hAnsi="Cambria"/>
      <w:sz w:val="24"/>
    </w:rPr>
  </w:style>
  <w:style w:type="paragraph" w:styleId="11">
    <w:name w:val="heading 9"/>
    <w:basedOn w:val="1"/>
    <w:next w:val="1"/>
    <w:link w:val="45"/>
    <w:qFormat/>
    <w:uiPriority w:val="0"/>
    <w:pPr>
      <w:keepNext/>
      <w:keepLines/>
      <w:spacing w:before="240" w:after="64" w:line="320" w:lineRule="auto"/>
      <w:ind w:left="1584" w:hanging="1584"/>
      <w:outlineLvl w:val="8"/>
    </w:pPr>
    <w:rPr>
      <w:rFonts w:ascii="Cambria" w:hAnsi="Cambria"/>
      <w:szCs w:val="21"/>
    </w:rPr>
  </w:style>
  <w:style w:type="character" w:default="1" w:styleId="23">
    <w:name w:val="Default Paragraph Font"/>
    <w:unhideWhenUsed/>
    <w:qFormat/>
    <w:uiPriority w:val="1"/>
  </w:style>
  <w:style w:type="table" w:default="1" w:styleId="27">
    <w:name w:val="Normal Table"/>
    <w:unhideWhenUsed/>
    <w:qFormat/>
    <w:uiPriority w:val="99"/>
    <w:tblPr>
      <w:tblLayout w:type="fixed"/>
      <w:tblCellMar>
        <w:top w:w="0" w:type="dxa"/>
        <w:left w:w="108" w:type="dxa"/>
        <w:bottom w:w="0" w:type="dxa"/>
        <w:right w:w="108" w:type="dxa"/>
      </w:tblCellMar>
    </w:tblPr>
  </w:style>
  <w:style w:type="paragraph" w:styleId="5">
    <w:name w:val="Normal Indent"/>
    <w:basedOn w:val="1"/>
    <w:unhideWhenUsed/>
    <w:qFormat/>
    <w:uiPriority w:val="99"/>
    <w:pPr>
      <w:widowControl/>
      <w:ind w:firstLine="420" w:firstLineChars="200"/>
      <w:jc w:val="left"/>
    </w:pPr>
    <w:rPr>
      <w:rFonts w:asciiTheme="minorHAnsi" w:hAnsiTheme="minorHAnsi" w:eastAsiaTheme="minorEastAsia" w:cstheme="minorBidi"/>
      <w:szCs w:val="22"/>
    </w:rPr>
  </w:style>
  <w:style w:type="paragraph" w:styleId="12">
    <w:name w:val="annotation subject"/>
    <w:basedOn w:val="13"/>
    <w:next w:val="13"/>
    <w:link w:val="53"/>
    <w:unhideWhenUsed/>
    <w:qFormat/>
    <w:uiPriority w:val="99"/>
    <w:rPr>
      <w:b/>
      <w:bCs/>
    </w:rPr>
  </w:style>
  <w:style w:type="paragraph" w:styleId="13">
    <w:name w:val="annotation text"/>
    <w:basedOn w:val="1"/>
    <w:link w:val="48"/>
    <w:semiHidden/>
    <w:qFormat/>
    <w:uiPriority w:val="0"/>
    <w:pPr>
      <w:jc w:val="left"/>
    </w:pPr>
  </w:style>
  <w:style w:type="paragraph" w:styleId="14">
    <w:name w:val="Body Text 3"/>
    <w:basedOn w:val="1"/>
    <w:link w:val="34"/>
    <w:qFormat/>
    <w:uiPriority w:val="0"/>
    <w:pPr>
      <w:spacing w:after="156" w:afterLines="50" w:line="660" w:lineRule="exact"/>
      <w:jc w:val="center"/>
    </w:pPr>
    <w:rPr>
      <w:rFonts w:ascii="黑体" w:hAnsi="宋体" w:eastAsia="黑体"/>
      <w:sz w:val="48"/>
    </w:rPr>
  </w:style>
  <w:style w:type="paragraph" w:styleId="15">
    <w:name w:val="Body Text"/>
    <w:basedOn w:val="1"/>
    <w:unhideWhenUsed/>
    <w:qFormat/>
    <w:uiPriority w:val="99"/>
    <w:rPr>
      <w:sz w:val="24"/>
    </w:rPr>
  </w:style>
  <w:style w:type="paragraph" w:styleId="16">
    <w:name w:val="Plain Text"/>
    <w:basedOn w:val="1"/>
    <w:link w:val="33"/>
    <w:qFormat/>
    <w:uiPriority w:val="0"/>
    <w:rPr>
      <w:rFonts w:ascii="宋体" w:hAnsi="Courier New" w:cs="Courier New"/>
      <w:szCs w:val="21"/>
    </w:rPr>
  </w:style>
  <w:style w:type="paragraph" w:styleId="17">
    <w:name w:val="Balloon Text"/>
    <w:basedOn w:val="1"/>
    <w:link w:val="38"/>
    <w:unhideWhenUsed/>
    <w:qFormat/>
    <w:uiPriority w:val="99"/>
    <w:rPr>
      <w:sz w:val="18"/>
      <w:szCs w:val="18"/>
    </w:rPr>
  </w:style>
  <w:style w:type="paragraph" w:styleId="18">
    <w:name w:val="footer"/>
    <w:basedOn w:val="1"/>
    <w:link w:val="30"/>
    <w:unhideWhenUsed/>
    <w:qFormat/>
    <w:uiPriority w:val="0"/>
    <w:pPr>
      <w:tabs>
        <w:tab w:val="center" w:pos="4153"/>
        <w:tab w:val="right" w:pos="8306"/>
      </w:tabs>
      <w:snapToGrid w:val="0"/>
      <w:jc w:val="left"/>
    </w:pPr>
    <w:rPr>
      <w:sz w:val="18"/>
      <w:szCs w:val="18"/>
    </w:rPr>
  </w:style>
  <w:style w:type="paragraph" w:styleId="19">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toc 2"/>
    <w:basedOn w:val="1"/>
    <w:next w:val="1"/>
    <w:qFormat/>
    <w:uiPriority w:val="39"/>
    <w:pPr>
      <w:ind w:left="420" w:leftChars="200"/>
    </w:p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24">
    <w:name w:val="Emphasis"/>
    <w:qFormat/>
    <w:uiPriority w:val="0"/>
    <w:rPr>
      <w:i/>
      <w:iCs/>
    </w:rPr>
  </w:style>
  <w:style w:type="character" w:styleId="25">
    <w:name w:val="Hyperlink"/>
    <w:qFormat/>
    <w:uiPriority w:val="0"/>
    <w:rPr>
      <w:color w:val="0000FF"/>
      <w:u w:val="single"/>
    </w:rPr>
  </w:style>
  <w:style w:type="character" w:styleId="26">
    <w:name w:val="annotation reference"/>
    <w:basedOn w:val="23"/>
    <w:unhideWhenUsed/>
    <w:qFormat/>
    <w:uiPriority w:val="99"/>
    <w:rPr>
      <w:sz w:val="21"/>
      <w:szCs w:val="21"/>
    </w:rPr>
  </w:style>
  <w:style w:type="table" w:styleId="28">
    <w:name w:val="Table Grid"/>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9">
    <w:name w:val="页眉 Char"/>
    <w:basedOn w:val="23"/>
    <w:link w:val="19"/>
    <w:qFormat/>
    <w:uiPriority w:val="99"/>
    <w:rPr>
      <w:sz w:val="18"/>
      <w:szCs w:val="18"/>
    </w:rPr>
  </w:style>
  <w:style w:type="character" w:customStyle="1" w:styleId="30">
    <w:name w:val="页脚 Char"/>
    <w:basedOn w:val="23"/>
    <w:link w:val="18"/>
    <w:qFormat/>
    <w:uiPriority w:val="99"/>
    <w:rPr>
      <w:sz w:val="18"/>
      <w:szCs w:val="18"/>
    </w:rPr>
  </w:style>
  <w:style w:type="character" w:customStyle="1" w:styleId="31">
    <w:name w:val="标题 1 Char"/>
    <w:basedOn w:val="23"/>
    <w:link w:val="2"/>
    <w:qFormat/>
    <w:uiPriority w:val="9"/>
    <w:rPr>
      <w:rFonts w:ascii="Times New Roman" w:hAnsi="Times New Roman" w:eastAsia="宋体" w:cs="Times New Roman"/>
      <w:b/>
      <w:bCs/>
      <w:kern w:val="44"/>
      <w:sz w:val="44"/>
      <w:szCs w:val="44"/>
    </w:rPr>
  </w:style>
  <w:style w:type="character" w:customStyle="1" w:styleId="32">
    <w:name w:val="HTML 打字机1"/>
    <w:qFormat/>
    <w:uiPriority w:val="0"/>
    <w:rPr>
      <w:rFonts w:ascii="Courier New" w:hAnsi="Courier New" w:cs="Courier New"/>
      <w:sz w:val="20"/>
      <w:szCs w:val="20"/>
    </w:rPr>
  </w:style>
  <w:style w:type="character" w:customStyle="1" w:styleId="33">
    <w:name w:val="纯文本 Char"/>
    <w:basedOn w:val="23"/>
    <w:link w:val="16"/>
    <w:qFormat/>
    <w:uiPriority w:val="0"/>
    <w:rPr>
      <w:rFonts w:ascii="宋体" w:hAnsi="Courier New" w:eastAsia="宋体" w:cs="Courier New"/>
      <w:szCs w:val="21"/>
    </w:rPr>
  </w:style>
  <w:style w:type="character" w:customStyle="1" w:styleId="34">
    <w:name w:val="正文文本 3 Char"/>
    <w:basedOn w:val="23"/>
    <w:link w:val="14"/>
    <w:qFormat/>
    <w:uiPriority w:val="0"/>
    <w:rPr>
      <w:rFonts w:ascii="黑体" w:hAnsi="宋体" w:eastAsia="黑体" w:cs="Times New Roman"/>
      <w:sz w:val="48"/>
      <w:szCs w:val="24"/>
    </w:rPr>
  </w:style>
  <w:style w:type="paragraph" w:customStyle="1" w:styleId="35">
    <w:name w:val="Char1 Char Char Char"/>
    <w:basedOn w:val="1"/>
    <w:qFormat/>
    <w:uiPriority w:val="0"/>
    <w:pPr>
      <w:numPr>
        <w:ilvl w:val="0"/>
        <w:numId w:val="1"/>
      </w:numPr>
      <w:tabs>
        <w:tab w:val="left" w:pos="420"/>
      </w:tabs>
    </w:pPr>
  </w:style>
  <w:style w:type="paragraph" w:customStyle="1" w:styleId="36">
    <w:name w:val="列出段落1"/>
    <w:basedOn w:val="1"/>
    <w:qFormat/>
    <w:uiPriority w:val="34"/>
    <w:pPr>
      <w:ind w:firstLine="420" w:firstLineChars="200"/>
    </w:pPr>
  </w:style>
  <w:style w:type="character" w:customStyle="1" w:styleId="37">
    <w:name w:val="标题 2 Char"/>
    <w:basedOn w:val="23"/>
    <w:link w:val="3"/>
    <w:semiHidden/>
    <w:qFormat/>
    <w:uiPriority w:val="9"/>
    <w:rPr>
      <w:rFonts w:asciiTheme="majorHAnsi" w:hAnsiTheme="majorHAnsi" w:eastAsiaTheme="majorEastAsia" w:cstheme="majorBidi"/>
      <w:b/>
      <w:bCs/>
      <w:sz w:val="32"/>
      <w:szCs w:val="32"/>
    </w:rPr>
  </w:style>
  <w:style w:type="character" w:customStyle="1" w:styleId="38">
    <w:name w:val="批注框文本 Char"/>
    <w:basedOn w:val="23"/>
    <w:link w:val="17"/>
    <w:semiHidden/>
    <w:qFormat/>
    <w:uiPriority w:val="99"/>
    <w:rPr>
      <w:rFonts w:ascii="Times New Roman" w:hAnsi="Times New Roman" w:eastAsia="宋体" w:cs="Times New Roman"/>
      <w:sz w:val="18"/>
      <w:szCs w:val="18"/>
    </w:rPr>
  </w:style>
  <w:style w:type="character" w:customStyle="1" w:styleId="39">
    <w:name w:val="标题 3 Char"/>
    <w:basedOn w:val="23"/>
    <w:link w:val="4"/>
    <w:qFormat/>
    <w:uiPriority w:val="0"/>
    <w:rPr>
      <w:rFonts w:ascii="Times New Roman" w:hAnsi="Times New Roman" w:eastAsia="宋体" w:cs="Times New Roman"/>
      <w:b/>
      <w:bCs/>
      <w:sz w:val="32"/>
      <w:szCs w:val="32"/>
    </w:rPr>
  </w:style>
  <w:style w:type="character" w:customStyle="1" w:styleId="40">
    <w:name w:val="标题 4 Char"/>
    <w:basedOn w:val="23"/>
    <w:link w:val="6"/>
    <w:qFormat/>
    <w:uiPriority w:val="0"/>
    <w:rPr>
      <w:rFonts w:ascii="Cambria" w:hAnsi="Cambria" w:eastAsia="宋体" w:cs="Times New Roman"/>
      <w:b/>
      <w:bCs/>
      <w:sz w:val="28"/>
      <w:szCs w:val="28"/>
    </w:rPr>
  </w:style>
  <w:style w:type="character" w:customStyle="1" w:styleId="41">
    <w:name w:val="标题 5 Char"/>
    <w:basedOn w:val="23"/>
    <w:link w:val="7"/>
    <w:qFormat/>
    <w:uiPriority w:val="0"/>
    <w:rPr>
      <w:rFonts w:ascii="Times New Roman" w:hAnsi="Times New Roman" w:eastAsia="宋体" w:cs="Times New Roman"/>
      <w:b/>
      <w:bCs/>
      <w:sz w:val="28"/>
      <w:szCs w:val="28"/>
    </w:rPr>
  </w:style>
  <w:style w:type="character" w:customStyle="1" w:styleId="42">
    <w:name w:val="标题 6 Char"/>
    <w:basedOn w:val="23"/>
    <w:link w:val="8"/>
    <w:qFormat/>
    <w:uiPriority w:val="0"/>
    <w:rPr>
      <w:rFonts w:ascii="Cambria" w:hAnsi="Cambria" w:eastAsia="宋体" w:cs="Times New Roman"/>
      <w:b/>
      <w:bCs/>
      <w:sz w:val="24"/>
      <w:szCs w:val="24"/>
    </w:rPr>
  </w:style>
  <w:style w:type="character" w:customStyle="1" w:styleId="43">
    <w:name w:val="标题 7 Char"/>
    <w:basedOn w:val="23"/>
    <w:link w:val="9"/>
    <w:qFormat/>
    <w:uiPriority w:val="0"/>
    <w:rPr>
      <w:rFonts w:ascii="Times New Roman" w:hAnsi="Times New Roman" w:eastAsia="宋体" w:cs="Times New Roman"/>
      <w:b/>
      <w:bCs/>
      <w:sz w:val="24"/>
      <w:szCs w:val="24"/>
    </w:rPr>
  </w:style>
  <w:style w:type="character" w:customStyle="1" w:styleId="44">
    <w:name w:val="标题 8 Char"/>
    <w:basedOn w:val="23"/>
    <w:link w:val="10"/>
    <w:qFormat/>
    <w:uiPriority w:val="0"/>
    <w:rPr>
      <w:rFonts w:ascii="Cambria" w:hAnsi="Cambria" w:eastAsia="宋体" w:cs="Times New Roman"/>
      <w:sz w:val="24"/>
      <w:szCs w:val="24"/>
    </w:rPr>
  </w:style>
  <w:style w:type="character" w:customStyle="1" w:styleId="45">
    <w:name w:val="标题 9 Char"/>
    <w:basedOn w:val="23"/>
    <w:link w:val="11"/>
    <w:qFormat/>
    <w:uiPriority w:val="0"/>
    <w:rPr>
      <w:rFonts w:ascii="Cambria" w:hAnsi="Cambria" w:eastAsia="宋体" w:cs="Times New Roman"/>
      <w:szCs w:val="21"/>
    </w:rPr>
  </w:style>
  <w:style w:type="paragraph" w:customStyle="1" w:styleId="46">
    <w:name w:val="p0"/>
    <w:basedOn w:val="1"/>
    <w:qFormat/>
    <w:uiPriority w:val="0"/>
    <w:pPr>
      <w:widowControl/>
    </w:pPr>
    <w:rPr>
      <w:kern w:val="0"/>
      <w:szCs w:val="21"/>
    </w:rPr>
  </w:style>
  <w:style w:type="paragraph" w:customStyle="1" w:styleId="47">
    <w:name w:val="p15"/>
    <w:basedOn w:val="1"/>
    <w:qFormat/>
    <w:uiPriority w:val="0"/>
    <w:pPr>
      <w:widowControl/>
    </w:pPr>
    <w:rPr>
      <w:kern w:val="0"/>
      <w:szCs w:val="21"/>
    </w:rPr>
  </w:style>
  <w:style w:type="character" w:customStyle="1" w:styleId="48">
    <w:name w:val="批注文字 Char"/>
    <w:basedOn w:val="23"/>
    <w:link w:val="13"/>
    <w:semiHidden/>
    <w:qFormat/>
    <w:uiPriority w:val="0"/>
    <w:rPr>
      <w:rFonts w:ascii="Times New Roman" w:hAnsi="Times New Roman" w:eastAsia="宋体" w:cs="Times New Roman"/>
      <w:szCs w:val="24"/>
    </w:rPr>
  </w:style>
  <w:style w:type="paragraph" w:customStyle="1" w:styleId="49">
    <w:name w:val="正文内容"/>
    <w:basedOn w:val="1"/>
    <w:qFormat/>
    <w:uiPriority w:val="0"/>
    <w:pPr>
      <w:spacing w:beforeLines="50" w:afterLines="50" w:line="300" w:lineRule="auto"/>
      <w:ind w:firstLine="200" w:firstLineChars="200"/>
    </w:pPr>
    <w:rPr>
      <w:rFonts w:ascii="Calibri" w:hAnsi="宋体"/>
      <w:szCs w:val="21"/>
    </w:rPr>
  </w:style>
  <w:style w:type="paragraph" w:customStyle="1" w:styleId="50">
    <w:name w:val="_Style 2"/>
    <w:basedOn w:val="1"/>
    <w:qFormat/>
    <w:uiPriority w:val="34"/>
    <w:pPr>
      <w:ind w:firstLine="420" w:firstLineChars="200"/>
    </w:pPr>
    <w:rPr>
      <w:rFonts w:ascii="Calibri" w:hAnsi="Calibri"/>
      <w:szCs w:val="22"/>
    </w:rPr>
  </w:style>
  <w:style w:type="paragraph" w:customStyle="1" w:styleId="51">
    <w:name w:val="列出段落11"/>
    <w:basedOn w:val="1"/>
    <w:qFormat/>
    <w:uiPriority w:val="34"/>
    <w:pPr>
      <w:ind w:firstLine="420" w:firstLineChars="200"/>
    </w:pPr>
    <w:rPr>
      <w:szCs w:val="20"/>
    </w:rPr>
  </w:style>
  <w:style w:type="paragraph" w:customStyle="1" w:styleId="52">
    <w:name w:val="List Paragraph1"/>
    <w:basedOn w:val="1"/>
    <w:qFormat/>
    <w:uiPriority w:val="34"/>
    <w:pPr>
      <w:ind w:firstLine="420" w:firstLineChars="200"/>
    </w:pPr>
    <w:rPr>
      <w:szCs w:val="20"/>
    </w:rPr>
  </w:style>
  <w:style w:type="character" w:customStyle="1" w:styleId="53">
    <w:name w:val="批注主题 Char"/>
    <w:basedOn w:val="48"/>
    <w:link w:val="12"/>
    <w:semiHidden/>
    <w:qFormat/>
    <w:uiPriority w:val="99"/>
    <w:rPr>
      <w:rFonts w:ascii="Times New Roman" w:hAnsi="Times New Roman" w:eastAsia="宋体" w:cs="Times New Roman"/>
      <w:b/>
      <w:bCs/>
      <w:kern w:val="2"/>
      <w:sz w:val="21"/>
      <w:szCs w:val="24"/>
    </w:rPr>
  </w:style>
  <w:style w:type="paragraph" w:customStyle="1" w:styleId="54">
    <w:name w:val="List Paragraph"/>
    <w:basedOn w:val="1"/>
    <w:qFormat/>
    <w:uiPriority w:val="34"/>
    <w:pPr>
      <w:ind w:firstLine="420" w:firstLineChars="200"/>
    </w:pPr>
  </w:style>
  <w:style w:type="paragraph" w:customStyle="1" w:styleId="55">
    <w:name w:val="彩色列表 - 强调文字颜色 12"/>
    <w:basedOn w:val="1"/>
    <w:qFormat/>
    <w:uiPriority w:val="34"/>
    <w:pPr>
      <w:widowControl/>
      <w:spacing w:after="200" w:line="276" w:lineRule="auto"/>
      <w:ind w:left="720"/>
      <w:contextualSpacing/>
      <w:jc w:val="left"/>
    </w:pPr>
    <w:rPr>
      <w:rFonts w:ascii="Calibri" w:hAnsi="Calibri"/>
      <w:kern w:val="0"/>
      <w:sz w:val="22"/>
      <w:szCs w:val="22"/>
    </w:rPr>
  </w:style>
  <w:style w:type="paragraph" w:customStyle="1" w:styleId="56">
    <w:name w:val="样式 首行缩进:  0.74 厘米"/>
    <w:basedOn w:val="1"/>
    <w:qFormat/>
    <w:uiPriority w:val="0"/>
    <w:pPr>
      <w:ind w:firstLine="420"/>
    </w:pPr>
    <w:rPr>
      <w:rFonts w:ascii="Arial" w:hAnsi="Arial" w:eastAsia="仿宋_GB2312" w:cs="Arial"/>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22</Pages>
  <Words>1849</Words>
  <Characters>10542</Characters>
  <Lines>87</Lines>
  <Paragraphs>24</Paragraphs>
  <ScaleCrop>false</ScaleCrop>
  <LinksUpToDate>false</LinksUpToDate>
  <CharactersWithSpaces>12367</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2017-01-21T07:51:00Z</dcterms:created>
  <dc:creator>sz</dc:creator>
  <cp:lastModifiedBy>lenovo</cp:lastModifiedBy>
  <cp:lastPrinted>2014-11-18T01:50:00Z</cp:lastPrinted>
  <dcterms:modified xsi:type="dcterms:W3CDTF">2017-12-07T09:33:39Z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